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03806885"/>
        <w:docPartObj>
          <w:docPartGallery w:val="Cover Pages"/>
          <w:docPartUnique/>
        </w:docPartObj>
      </w:sdtPr>
      <w:sdtContent>
        <w:p w14:paraId="36831C57" w14:textId="083A2FF4" w:rsidR="00425841" w:rsidRDefault="00425841"/>
        <w:tbl>
          <w:tblPr>
            <w:tblpPr w:leftFromText="187" w:rightFromText="187" w:horzAnchor="margin" w:tblpXSpec="center" w:tblpY="2881"/>
            <w:tblW w:w="5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6538"/>
            <w:gridCol w:w="2802"/>
          </w:tblGrid>
          <w:tr w:rsidR="00425841" w14:paraId="48446C52" w14:textId="77777777" w:rsidTr="00425841">
            <w:sdt>
              <w:sdtPr>
                <w:rPr>
                  <w:color w:val="2E74B5" w:themeColor="accent1" w:themeShade="BF"/>
                  <w:sz w:val="24"/>
                  <w:szCs w:val="24"/>
                </w:rPr>
                <w:alias w:val="Организация"/>
                <w:id w:val="13406915"/>
                <w:dataBinding w:prefixMappings="xmlns:ns0='http://schemas.openxmlformats.org/officeDocument/2006/extended-properties'" w:xpath="/ns0:Properties[1]/ns0:Company[1]" w:storeItemID="{6668398D-A668-4E3E-A5EB-62B293D839F1}"/>
                <w:text/>
              </w:sdtPr>
              <w:sdtContent>
                <w:tc>
                  <w:tcPr>
                    <w:tcW w:w="6538" w:type="dxa"/>
                    <w:tcMar>
                      <w:top w:w="216" w:type="dxa"/>
                      <w:left w:w="115" w:type="dxa"/>
                      <w:bottom w:w="216" w:type="dxa"/>
                      <w:right w:w="115" w:type="dxa"/>
                    </w:tcMar>
                  </w:tcPr>
                  <w:p w14:paraId="5EE3118A" w14:textId="77777777" w:rsidR="00425841" w:rsidRDefault="0026511A" w:rsidP="00425841">
                    <w:pPr>
                      <w:pStyle w:val="af6"/>
                      <w:rPr>
                        <w:color w:val="2E74B5" w:themeColor="accent1" w:themeShade="BF"/>
                        <w:sz w:val="24"/>
                      </w:rPr>
                    </w:pPr>
                    <w:r>
                      <w:rPr>
                        <w:color w:val="2E74B5" w:themeColor="accent1" w:themeShade="BF"/>
                        <w:sz w:val="24"/>
                        <w:szCs w:val="24"/>
                      </w:rPr>
                      <w:t>DAO IPCI</w:t>
                    </w:r>
                  </w:p>
                </w:tc>
              </w:sdtContent>
            </w:sdt>
            <w:tc>
              <w:tcPr>
                <w:tcW w:w="2802" w:type="dxa"/>
              </w:tcPr>
              <w:p w14:paraId="4824D677" w14:textId="77777777" w:rsidR="00425841" w:rsidRDefault="00425841" w:rsidP="0029607D">
                <w:pPr>
                  <w:pStyle w:val="af6"/>
                  <w:jc w:val="right"/>
                  <w:rPr>
                    <w:color w:val="2E74B5" w:themeColor="accent1" w:themeShade="BF"/>
                    <w:sz w:val="24"/>
                    <w:szCs w:val="24"/>
                  </w:rPr>
                </w:pPr>
              </w:p>
            </w:tc>
          </w:tr>
          <w:tr w:rsidR="00425841" w:rsidRPr="0086360B" w14:paraId="51944AEC" w14:textId="77777777" w:rsidTr="00425841">
            <w:tc>
              <w:tcPr>
                <w:tcW w:w="6538" w:type="dxa"/>
              </w:tcPr>
              <w:sdt>
                <w:sdtPr>
                  <w:rPr>
                    <w:rFonts w:asciiTheme="majorHAnsi" w:eastAsiaTheme="majorEastAsia" w:hAnsiTheme="majorHAnsi" w:cstheme="majorBidi"/>
                    <w:color w:val="5B9BD5" w:themeColor="accent1"/>
                    <w:sz w:val="88"/>
                    <w:szCs w:val="88"/>
                    <w:lang w:val="en-US"/>
                  </w:rPr>
                  <w:alias w:val="Название"/>
                  <w:id w:val="13406919"/>
                  <w:dataBinding w:prefixMappings="xmlns:ns0='http://schemas.openxmlformats.org/package/2006/metadata/core-properties' xmlns:ns1='http://purl.org/dc/elements/1.1/'" w:xpath="/ns0:coreProperties[1]/ns1:title[1]" w:storeItemID="{6C3C8BC8-F283-45AE-878A-BAB7291924A1}"/>
                  <w:text/>
                </w:sdtPr>
                <w:sdtContent>
                  <w:p w14:paraId="03FC5E82" w14:textId="77777777" w:rsidR="00425841" w:rsidRPr="00425841" w:rsidRDefault="0026511A">
                    <w:pPr>
                      <w:pStyle w:val="af6"/>
                      <w:spacing w:line="216" w:lineRule="auto"/>
                      <w:rPr>
                        <w:rFonts w:asciiTheme="majorHAnsi" w:eastAsiaTheme="majorEastAsia" w:hAnsiTheme="majorHAnsi" w:cstheme="majorBidi"/>
                        <w:color w:val="5B9BD5" w:themeColor="accent1"/>
                        <w:sz w:val="88"/>
                        <w:szCs w:val="88"/>
                        <w:lang w:val="en-US"/>
                      </w:rPr>
                    </w:pPr>
                    <w:r>
                      <w:rPr>
                        <w:rFonts w:asciiTheme="majorHAnsi" w:eastAsiaTheme="majorEastAsia" w:hAnsiTheme="majorHAnsi" w:cstheme="majorBidi"/>
                        <w:color w:val="5B9BD5" w:themeColor="accent1"/>
                        <w:sz w:val="88"/>
                        <w:szCs w:val="88"/>
                        <w:lang w:val="en-US"/>
                      </w:rPr>
                      <w:t>DECENTRALIZED AUTONOMOUS ORGANIZATION «INTEGRAL PLATFORM FOR CLIMATE INITIATIVES»</w:t>
                    </w:r>
                  </w:p>
                </w:sdtContent>
              </w:sdt>
            </w:tc>
            <w:tc>
              <w:tcPr>
                <w:tcW w:w="2802" w:type="dxa"/>
              </w:tcPr>
              <w:p w14:paraId="03C2571B" w14:textId="77777777" w:rsidR="00425841" w:rsidRPr="00425841" w:rsidRDefault="00425841">
                <w:pPr>
                  <w:pStyle w:val="af6"/>
                  <w:spacing w:line="216" w:lineRule="auto"/>
                  <w:rPr>
                    <w:rFonts w:asciiTheme="majorHAnsi" w:eastAsiaTheme="majorEastAsia" w:hAnsiTheme="majorHAnsi" w:cstheme="majorBidi"/>
                    <w:color w:val="5B9BD5" w:themeColor="accent1"/>
                    <w:sz w:val="88"/>
                    <w:szCs w:val="88"/>
                    <w:lang w:val="en-US"/>
                  </w:rPr>
                </w:pPr>
              </w:p>
            </w:tc>
          </w:tr>
          <w:tr w:rsidR="00425841" w:rsidRPr="0086360B" w14:paraId="06AACD76" w14:textId="77777777" w:rsidTr="00425841">
            <w:sdt>
              <w:sdtPr>
                <w:rPr>
                  <w:rFonts w:ascii="Calibri Light" w:eastAsia="Times New Roman" w:hAnsi="Calibri Light" w:cs="Times New Roman"/>
                  <w:color w:val="5A5A5A" w:themeColor="text1" w:themeTint="A5"/>
                  <w:spacing w:val="15"/>
                  <w:sz w:val="36"/>
                  <w:szCs w:val="32"/>
                  <w:lang w:val="en-US"/>
                </w:rPr>
                <w:alias w:val="Подзаголовок"/>
                <w:id w:val="13406923"/>
                <w:dataBinding w:prefixMappings="xmlns:ns0='http://schemas.openxmlformats.org/package/2006/metadata/core-properties' xmlns:ns1='http://purl.org/dc/elements/1.1/'" w:xpath="/ns0:coreProperties[1]/ns1:subject[1]" w:storeItemID="{6C3C8BC8-F283-45AE-878A-BAB7291924A1}"/>
                <w:text/>
              </w:sdtPr>
              <w:sdtContent>
                <w:tc>
                  <w:tcPr>
                    <w:tcW w:w="6538" w:type="dxa"/>
                    <w:tcMar>
                      <w:top w:w="216" w:type="dxa"/>
                      <w:left w:w="115" w:type="dxa"/>
                      <w:bottom w:w="216" w:type="dxa"/>
                      <w:right w:w="115" w:type="dxa"/>
                    </w:tcMar>
                  </w:tcPr>
                  <w:p w14:paraId="410B2EB4" w14:textId="06638BF4" w:rsidR="00425841" w:rsidRPr="00425841" w:rsidRDefault="00CB4C50">
                    <w:pPr>
                      <w:pStyle w:val="af6"/>
                      <w:rPr>
                        <w:color w:val="2E74B5" w:themeColor="accent1" w:themeShade="BF"/>
                        <w:sz w:val="24"/>
                        <w:lang w:val="en-US"/>
                      </w:rPr>
                    </w:pPr>
                    <w:r>
                      <w:rPr>
                        <w:rFonts w:ascii="Calibri Light" w:eastAsia="Times New Roman" w:hAnsi="Calibri Light" w:cs="Times New Roman"/>
                        <w:color w:val="5A5A5A" w:themeColor="text1" w:themeTint="A5"/>
                        <w:spacing w:val="15"/>
                        <w:sz w:val="36"/>
                        <w:szCs w:val="32"/>
                        <w:lang w:val="en-US"/>
                      </w:rPr>
                      <w:t xml:space="preserve">Public programmable </w:t>
                    </w:r>
                    <w:r w:rsidR="002C46E4">
                      <w:rPr>
                        <w:rFonts w:ascii="Calibri Light" w:eastAsia="Times New Roman" w:hAnsi="Calibri Light" w:cs="Times New Roman"/>
                        <w:color w:val="5A5A5A" w:themeColor="text1" w:themeTint="A5"/>
                        <w:spacing w:val="15"/>
                        <w:sz w:val="36"/>
                        <w:szCs w:val="32"/>
                        <w:lang w:val="en-US"/>
                      </w:rPr>
                      <w:t>blockchain ecosystem for carbon markets, societal cost mitigation instruments, environmental assets, rights and liabilities</w:t>
                    </w:r>
                  </w:p>
                </w:tc>
              </w:sdtContent>
            </w:sdt>
            <w:tc>
              <w:tcPr>
                <w:tcW w:w="2802" w:type="dxa"/>
              </w:tcPr>
              <w:p w14:paraId="650B899A" w14:textId="77777777" w:rsidR="00425841" w:rsidRPr="00425841" w:rsidRDefault="00425841">
                <w:pPr>
                  <w:pStyle w:val="af6"/>
                  <w:rPr>
                    <w:rFonts w:ascii="Calibri Light" w:eastAsia="Times New Roman" w:hAnsi="Calibri Light" w:cs="Times New Roman"/>
                    <w:color w:val="5A5A5A" w:themeColor="text1" w:themeTint="A5"/>
                    <w:spacing w:val="15"/>
                    <w:sz w:val="36"/>
                    <w:szCs w:val="32"/>
                    <w:lang w:val="en-US"/>
                  </w:rPr>
                </w:pPr>
              </w:p>
            </w:tc>
          </w:tr>
        </w:tbl>
        <w:tbl>
          <w:tblPr>
            <w:tblpPr w:leftFromText="187" w:rightFromText="187" w:horzAnchor="margin" w:tblpXSpec="center" w:tblpYSpec="bottom"/>
            <w:tblW w:w="3857" w:type="pct"/>
            <w:tblLook w:val="04A0" w:firstRow="1" w:lastRow="0" w:firstColumn="1" w:lastColumn="0" w:noHBand="0" w:noVBand="1"/>
          </w:tblPr>
          <w:tblGrid>
            <w:gridCol w:w="7216"/>
          </w:tblGrid>
          <w:tr w:rsidR="00425841" w:rsidRPr="0086360B" w14:paraId="30FA49B6" w14:textId="77777777">
            <w:tc>
              <w:tcPr>
                <w:tcW w:w="7221" w:type="dxa"/>
                <w:tcMar>
                  <w:top w:w="216" w:type="dxa"/>
                  <w:left w:w="115" w:type="dxa"/>
                  <w:bottom w:w="216" w:type="dxa"/>
                  <w:right w:w="115" w:type="dxa"/>
                </w:tcMar>
              </w:tcPr>
              <w:p w14:paraId="42BB92C4" w14:textId="77777777" w:rsidR="00425841" w:rsidRPr="00F7310E" w:rsidRDefault="00425841">
                <w:pPr>
                  <w:pStyle w:val="af6"/>
                  <w:rPr>
                    <w:color w:val="5B9BD5" w:themeColor="accent1"/>
                    <w:lang w:val="en-US"/>
                  </w:rPr>
                </w:pPr>
              </w:p>
            </w:tc>
          </w:tr>
        </w:tbl>
        <w:p w14:paraId="0CEAA329" w14:textId="1358C3E8" w:rsidR="00425841" w:rsidRPr="00425841" w:rsidRDefault="00425841" w:rsidP="00C6342D">
          <w:pPr>
            <w:jc w:val="center"/>
            <w:rPr>
              <w:rFonts w:asciiTheme="majorHAnsi" w:eastAsiaTheme="majorEastAsia" w:hAnsiTheme="majorHAnsi" w:cstheme="majorBidi"/>
              <w:color w:val="2E74B5" w:themeColor="accent1" w:themeShade="BF"/>
              <w:sz w:val="32"/>
              <w:szCs w:val="32"/>
              <w:lang w:val="en-US"/>
            </w:rPr>
          </w:pPr>
          <w:r w:rsidRPr="00425841">
            <w:rPr>
              <w:lang w:val="en-US"/>
            </w:rPr>
            <w:br w:type="page"/>
          </w:r>
        </w:p>
      </w:sdtContent>
    </w:sdt>
    <w:p w14:paraId="20821FC8" w14:textId="77777777" w:rsidR="00E972D8" w:rsidRPr="00425841" w:rsidRDefault="00E972D8" w:rsidP="006F60B1">
      <w:pPr>
        <w:pStyle w:val="1"/>
        <w:jc w:val="center"/>
        <w:rPr>
          <w:lang w:val="en-US"/>
        </w:rPr>
      </w:pPr>
    </w:p>
    <w:p w14:paraId="3B0A04DD" w14:textId="77777777" w:rsidR="00E972D8" w:rsidRDefault="00E972D8" w:rsidP="006F60B1">
      <w:pPr>
        <w:pStyle w:val="1"/>
        <w:jc w:val="center"/>
        <w:rPr>
          <w:lang w:val="en-US"/>
        </w:rPr>
      </w:pPr>
    </w:p>
    <w:p w14:paraId="0A695786" w14:textId="77777777" w:rsidR="00C14356" w:rsidRPr="00874537" w:rsidRDefault="00C14356" w:rsidP="004E233C">
      <w:pPr>
        <w:ind w:firstLine="567"/>
        <w:jc w:val="center"/>
        <w:rPr>
          <w:b/>
          <w:i/>
          <w:lang w:val="en-US"/>
        </w:rPr>
      </w:pPr>
    </w:p>
    <w:p w14:paraId="064F5CDE" w14:textId="178BF650" w:rsidR="00EF2067" w:rsidRPr="00772945" w:rsidRDefault="00ED4138" w:rsidP="00EF2067">
      <w:pPr>
        <w:ind w:firstLine="567"/>
        <w:jc w:val="center"/>
        <w:rPr>
          <w:i/>
          <w:lang w:val="en-US"/>
        </w:rPr>
      </w:pPr>
      <w:hyperlink r:id="rId9" w:history="1">
        <w:r w:rsidR="00EF2067" w:rsidRPr="000B32FD">
          <w:rPr>
            <w:rStyle w:val="a3"/>
            <w:i/>
            <w:lang w:val="en-US"/>
          </w:rPr>
          <w:t>DAO IPCI</w:t>
        </w:r>
      </w:hyperlink>
      <w:r w:rsidR="00EF2067">
        <w:rPr>
          <w:i/>
          <w:lang w:val="en-US"/>
        </w:rPr>
        <w:t xml:space="preserve"> is a Decentralized Autonomous Organization operating, sustaining and developing the Integral Platform for Climate Initiatives</w:t>
      </w:r>
      <w:r w:rsidR="00522D3B">
        <w:rPr>
          <w:i/>
          <w:lang w:val="en-US"/>
        </w:rPr>
        <w:t>. D</w:t>
      </w:r>
      <w:r w:rsidR="00602268">
        <w:rPr>
          <w:i/>
          <w:lang w:val="en-US"/>
        </w:rPr>
        <w:t>AO IPCI is</w:t>
      </w:r>
      <w:r w:rsidR="00EF2067">
        <w:rPr>
          <w:i/>
          <w:lang w:val="en-US"/>
        </w:rPr>
        <w:t xml:space="preserve"> </w:t>
      </w:r>
      <w:r w:rsidR="001F4853">
        <w:rPr>
          <w:i/>
          <w:lang w:val="en-US"/>
        </w:rPr>
        <w:t xml:space="preserve">a </w:t>
      </w:r>
      <w:r w:rsidR="00602268">
        <w:rPr>
          <w:i/>
          <w:lang w:val="en-US"/>
        </w:rPr>
        <w:t>public and programmable</w:t>
      </w:r>
      <w:r w:rsidR="00522D3B">
        <w:rPr>
          <w:i/>
          <w:lang w:val="en-US"/>
        </w:rPr>
        <w:t xml:space="preserve"> blockchain</w:t>
      </w:r>
      <w:r w:rsidR="00EF2067" w:rsidRPr="000B32FD">
        <w:rPr>
          <w:i/>
          <w:lang w:val="en-US"/>
        </w:rPr>
        <w:t xml:space="preserve">-based </w:t>
      </w:r>
      <w:r w:rsidR="00EF2067" w:rsidRPr="00EF2067">
        <w:rPr>
          <w:i/>
          <w:lang w:val="en-US"/>
        </w:rPr>
        <w:t xml:space="preserve">independent </w:t>
      </w:r>
      <w:r w:rsidR="00EF2067" w:rsidRPr="000B32FD">
        <w:rPr>
          <w:i/>
          <w:lang w:val="en-US"/>
        </w:rPr>
        <w:t>ecosystem</w:t>
      </w:r>
      <w:r w:rsidR="00EF2067">
        <w:rPr>
          <w:i/>
          <w:lang w:val="en-US"/>
        </w:rPr>
        <w:t xml:space="preserve"> designed</w:t>
      </w:r>
      <w:r w:rsidR="00EF2067" w:rsidRPr="000B32FD">
        <w:rPr>
          <w:i/>
          <w:lang w:val="en-US"/>
        </w:rPr>
        <w:t xml:space="preserve"> for </w:t>
      </w:r>
      <w:r w:rsidR="00A029A5">
        <w:rPr>
          <w:i/>
          <w:lang w:val="en-US"/>
        </w:rPr>
        <w:t xml:space="preserve">societal cost </w:t>
      </w:r>
      <w:r w:rsidR="00602268">
        <w:rPr>
          <w:i/>
          <w:lang w:val="en-US"/>
        </w:rPr>
        <w:t xml:space="preserve">markets and mitigation </w:t>
      </w:r>
      <w:r w:rsidR="00A029A5">
        <w:rPr>
          <w:i/>
          <w:lang w:val="en-US"/>
        </w:rPr>
        <w:t>instruments</w:t>
      </w:r>
      <w:r w:rsidR="00C25D86">
        <w:rPr>
          <w:i/>
          <w:lang w:val="en-US"/>
        </w:rPr>
        <w:t>,</w:t>
      </w:r>
      <w:r w:rsidR="00602268">
        <w:rPr>
          <w:i/>
          <w:lang w:val="en-US"/>
        </w:rPr>
        <w:t xml:space="preserve"> including</w:t>
      </w:r>
      <w:r w:rsidR="00C25D86">
        <w:rPr>
          <w:i/>
          <w:lang w:val="en-US"/>
        </w:rPr>
        <w:t xml:space="preserve"> carbon</w:t>
      </w:r>
      <w:r w:rsidR="00EF2067">
        <w:rPr>
          <w:i/>
          <w:lang w:val="en-US"/>
        </w:rPr>
        <w:t xml:space="preserve"> market</w:t>
      </w:r>
      <w:r w:rsidR="009E7741">
        <w:rPr>
          <w:i/>
          <w:lang w:val="en-US"/>
        </w:rPr>
        <w:t>s</w:t>
      </w:r>
      <w:r w:rsidR="00602268">
        <w:rPr>
          <w:i/>
          <w:lang w:val="en-US"/>
        </w:rPr>
        <w:t xml:space="preserve"> and instruments</w:t>
      </w:r>
      <w:r w:rsidR="00A029A5">
        <w:rPr>
          <w:i/>
          <w:lang w:val="en-US"/>
        </w:rPr>
        <w:t>,</w:t>
      </w:r>
      <w:r w:rsidR="001F4853">
        <w:rPr>
          <w:i/>
          <w:lang w:val="en-US"/>
        </w:rPr>
        <w:t xml:space="preserve"> </w:t>
      </w:r>
      <w:r w:rsidR="00EF2067" w:rsidRPr="000B32FD">
        <w:rPr>
          <w:i/>
          <w:lang w:val="en-US"/>
        </w:rPr>
        <w:t>carbon compliance units</w:t>
      </w:r>
      <w:r w:rsidR="00486774">
        <w:rPr>
          <w:i/>
          <w:lang w:val="en-US"/>
        </w:rPr>
        <w:t>,</w:t>
      </w:r>
      <w:r w:rsidR="00EF2067">
        <w:rPr>
          <w:i/>
          <w:lang w:val="en-US"/>
        </w:rPr>
        <w:t xml:space="preserve"> </w:t>
      </w:r>
      <w:r w:rsidR="00036A9B">
        <w:rPr>
          <w:i/>
          <w:lang w:val="en-US"/>
        </w:rPr>
        <w:t>carbon</w:t>
      </w:r>
      <w:r w:rsidR="00C25D86">
        <w:rPr>
          <w:i/>
          <w:lang w:val="en-US"/>
        </w:rPr>
        <w:t xml:space="preserve"> emission allowances, </w:t>
      </w:r>
      <w:r w:rsidR="00036A9B">
        <w:rPr>
          <w:i/>
          <w:lang w:val="en-US"/>
        </w:rPr>
        <w:t>offset</w:t>
      </w:r>
      <w:r w:rsidR="00EF2067">
        <w:rPr>
          <w:i/>
          <w:lang w:val="en-US"/>
        </w:rPr>
        <w:t xml:space="preserve"> credits</w:t>
      </w:r>
      <w:r w:rsidR="00C25D86">
        <w:rPr>
          <w:i/>
          <w:lang w:val="en-US"/>
        </w:rPr>
        <w:t>,</w:t>
      </w:r>
      <w:r w:rsidR="001F4853">
        <w:rPr>
          <w:i/>
          <w:lang w:val="en-US"/>
        </w:rPr>
        <w:t xml:space="preserve"> </w:t>
      </w:r>
      <w:r w:rsidR="00602268">
        <w:rPr>
          <w:i/>
          <w:lang w:val="en-US"/>
        </w:rPr>
        <w:t xml:space="preserve">renewable energy credits, </w:t>
      </w:r>
      <w:r w:rsidR="00EF2067">
        <w:rPr>
          <w:i/>
          <w:lang w:val="en-US"/>
        </w:rPr>
        <w:t xml:space="preserve">other </w:t>
      </w:r>
      <w:r w:rsidR="00EF2067" w:rsidRPr="000B32FD">
        <w:rPr>
          <w:i/>
          <w:lang w:val="en-US"/>
        </w:rPr>
        <w:t>en</w:t>
      </w:r>
      <w:r w:rsidR="00EF2067">
        <w:rPr>
          <w:i/>
          <w:lang w:val="en-US"/>
        </w:rPr>
        <w:t>vironmental credits</w:t>
      </w:r>
      <w:r w:rsidR="00602268">
        <w:rPr>
          <w:i/>
          <w:lang w:val="en-US"/>
        </w:rPr>
        <w:t>, and financial instruments,</w:t>
      </w:r>
      <w:r w:rsidR="001F4853">
        <w:rPr>
          <w:i/>
          <w:lang w:val="en-US"/>
        </w:rPr>
        <w:t xml:space="preserve"> </w:t>
      </w:r>
      <w:r w:rsidR="00EF2067" w:rsidRPr="000B32FD">
        <w:rPr>
          <w:i/>
          <w:lang w:val="en-US"/>
        </w:rPr>
        <w:t>environmental assets</w:t>
      </w:r>
      <w:r w:rsidR="00486774">
        <w:rPr>
          <w:i/>
          <w:lang w:val="en-US"/>
        </w:rPr>
        <w:t>, rights</w:t>
      </w:r>
      <w:r w:rsidR="00EF2067">
        <w:rPr>
          <w:i/>
          <w:lang w:val="en-US"/>
        </w:rPr>
        <w:t xml:space="preserve"> and liabilities</w:t>
      </w:r>
      <w:r w:rsidR="00602268">
        <w:rPr>
          <w:i/>
          <w:lang w:val="en-US"/>
        </w:rPr>
        <w:t xml:space="preserve"> in general</w:t>
      </w:r>
      <w:r w:rsidR="00772945">
        <w:rPr>
          <w:i/>
          <w:lang w:val="en-US"/>
        </w:rPr>
        <w:t>.</w:t>
      </w:r>
    </w:p>
    <w:p w14:paraId="2DAA5211" w14:textId="47C42F5E" w:rsidR="00EF2067" w:rsidRPr="00352C3D" w:rsidRDefault="00EF2067" w:rsidP="00EF2067">
      <w:pPr>
        <w:ind w:firstLine="567"/>
        <w:jc w:val="center"/>
        <w:rPr>
          <w:i/>
          <w:lang w:val="en-US"/>
        </w:rPr>
      </w:pPr>
      <w:r>
        <w:rPr>
          <w:i/>
          <w:lang w:val="en-US"/>
        </w:rPr>
        <w:t>DAO IPCI</w:t>
      </w:r>
      <w:r w:rsidR="00CD5643">
        <w:rPr>
          <w:i/>
          <w:lang w:val="en-US"/>
        </w:rPr>
        <w:t xml:space="preserve"> –</w:t>
      </w:r>
      <w:r w:rsidR="001F4853">
        <w:rPr>
          <w:i/>
          <w:lang w:val="en-US"/>
        </w:rPr>
        <w:t xml:space="preserve"> a</w:t>
      </w:r>
      <w:r w:rsidR="00CD5643">
        <w:rPr>
          <w:i/>
          <w:lang w:val="en-US"/>
        </w:rPr>
        <w:t xml:space="preserve"> truly decentralized public blockchain ecosystem</w:t>
      </w:r>
      <w:r w:rsidR="001F4853">
        <w:rPr>
          <w:i/>
          <w:lang w:val="en-US"/>
        </w:rPr>
        <w:t xml:space="preserve"> –</w:t>
      </w:r>
      <w:r>
        <w:rPr>
          <w:i/>
          <w:lang w:val="en-US"/>
        </w:rPr>
        <w:t xml:space="preserve"> is </w:t>
      </w:r>
      <w:r w:rsidR="001F4853">
        <w:rPr>
          <w:i/>
          <w:lang w:val="en-US"/>
        </w:rPr>
        <w:t xml:space="preserve">a </w:t>
      </w:r>
      <w:r>
        <w:rPr>
          <w:i/>
          <w:lang w:val="en-US"/>
        </w:rPr>
        <w:t>private</w:t>
      </w:r>
      <w:r w:rsidR="00F41E5C">
        <w:rPr>
          <w:i/>
          <w:lang w:val="en-US"/>
        </w:rPr>
        <w:t xml:space="preserve"> nonprofit</w:t>
      </w:r>
      <w:r>
        <w:rPr>
          <w:i/>
          <w:lang w:val="en-US"/>
        </w:rPr>
        <w:t xml:space="preserve"> </w:t>
      </w:r>
      <w:r w:rsidR="00F41E5C">
        <w:rPr>
          <w:i/>
          <w:lang w:val="en-US"/>
        </w:rPr>
        <w:t>project</w:t>
      </w:r>
      <w:r>
        <w:rPr>
          <w:i/>
          <w:lang w:val="en-US"/>
        </w:rPr>
        <w:t xml:space="preserve"> </w:t>
      </w:r>
      <w:r w:rsidR="00F41E5C">
        <w:rPr>
          <w:i/>
          <w:lang w:val="en-US"/>
        </w:rPr>
        <w:t xml:space="preserve">independent of </w:t>
      </w:r>
      <w:r w:rsidR="00602268">
        <w:rPr>
          <w:i/>
          <w:lang w:val="en-US"/>
        </w:rPr>
        <w:t xml:space="preserve">specific </w:t>
      </w:r>
      <w:r w:rsidR="00F41E5C">
        <w:rPr>
          <w:i/>
          <w:lang w:val="en-US"/>
        </w:rPr>
        <w:t>government, corporate, business or NGO interests.</w:t>
      </w:r>
    </w:p>
    <w:p w14:paraId="3B0FD151" w14:textId="77777777" w:rsidR="0027224D" w:rsidRPr="0027224D" w:rsidRDefault="0027224D" w:rsidP="0027224D">
      <w:pPr>
        <w:ind w:firstLine="567"/>
        <w:jc w:val="center"/>
        <w:rPr>
          <w:i/>
          <w:lang w:val="en-US"/>
        </w:rPr>
      </w:pPr>
    </w:p>
    <w:p w14:paraId="68DDE491" w14:textId="77777777" w:rsidR="006740F6" w:rsidRDefault="006740F6" w:rsidP="004A5224">
      <w:pPr>
        <w:rPr>
          <w:i/>
          <w:lang w:val="en-US"/>
        </w:rPr>
      </w:pPr>
    </w:p>
    <w:p w14:paraId="23968E35" w14:textId="77777777" w:rsidR="006740F6" w:rsidRDefault="006740F6" w:rsidP="006740F6">
      <w:pPr>
        <w:rPr>
          <w:lang w:val="en-US"/>
        </w:rPr>
      </w:pPr>
      <w:r>
        <w:rPr>
          <w:lang w:val="en-US"/>
        </w:rPr>
        <w:br w:type="page"/>
      </w:r>
    </w:p>
    <w:sdt>
      <w:sdtPr>
        <w:rPr>
          <w:rFonts w:asciiTheme="minorHAnsi" w:eastAsiaTheme="minorHAnsi" w:hAnsiTheme="minorHAnsi" w:cstheme="minorBidi"/>
          <w:color w:val="auto"/>
          <w:sz w:val="22"/>
          <w:szCs w:val="22"/>
          <w:lang w:eastAsia="en-US"/>
        </w:rPr>
        <w:id w:val="2046790044"/>
        <w:docPartObj>
          <w:docPartGallery w:val="Table of Contents"/>
          <w:docPartUnique/>
        </w:docPartObj>
      </w:sdtPr>
      <w:sdtEndPr>
        <w:rPr>
          <w:b/>
          <w:bCs/>
        </w:rPr>
      </w:sdtEndPr>
      <w:sdtContent>
        <w:p w14:paraId="61DA4093" w14:textId="77777777" w:rsidR="00DB656A" w:rsidRPr="00F37AE1" w:rsidRDefault="00F37AE1">
          <w:pPr>
            <w:pStyle w:val="af9"/>
            <w:rPr>
              <w:lang w:val="en-US"/>
            </w:rPr>
          </w:pPr>
          <w:r>
            <w:rPr>
              <w:lang w:val="en-US"/>
            </w:rPr>
            <w:t>Contents</w:t>
          </w:r>
        </w:p>
        <w:p w14:paraId="108E5453" w14:textId="77777777" w:rsidR="00E56C0C" w:rsidRDefault="00DB656A">
          <w:pPr>
            <w:pStyle w:val="13"/>
            <w:tabs>
              <w:tab w:val="right" w:leader="dot" w:pos="9345"/>
            </w:tabs>
            <w:rPr>
              <w:rFonts w:eastAsiaTheme="minorEastAsia"/>
              <w:noProof/>
              <w:lang w:val="en-US"/>
            </w:rPr>
          </w:pPr>
          <w:r>
            <w:fldChar w:fldCharType="begin"/>
          </w:r>
          <w:r>
            <w:instrText xml:space="preserve"> TOC \o "1-3" \h \z \u </w:instrText>
          </w:r>
          <w:r>
            <w:fldChar w:fldCharType="separate"/>
          </w:r>
          <w:hyperlink w:anchor="_Toc515607009" w:history="1">
            <w:r w:rsidR="00E56C0C" w:rsidRPr="000A0C8E">
              <w:rPr>
                <w:rStyle w:val="a3"/>
                <w:noProof/>
                <w:lang w:val="en-US"/>
              </w:rPr>
              <w:t>Executive Summary</w:t>
            </w:r>
            <w:r w:rsidR="00E56C0C">
              <w:rPr>
                <w:noProof/>
                <w:webHidden/>
              </w:rPr>
              <w:tab/>
            </w:r>
            <w:r w:rsidR="00E56C0C">
              <w:rPr>
                <w:noProof/>
                <w:webHidden/>
              </w:rPr>
              <w:fldChar w:fldCharType="begin"/>
            </w:r>
            <w:r w:rsidR="00E56C0C">
              <w:rPr>
                <w:noProof/>
                <w:webHidden/>
              </w:rPr>
              <w:instrText xml:space="preserve"> PAGEREF _Toc515607009 \h </w:instrText>
            </w:r>
            <w:r w:rsidR="00E56C0C">
              <w:rPr>
                <w:noProof/>
                <w:webHidden/>
              </w:rPr>
            </w:r>
            <w:r w:rsidR="00E56C0C">
              <w:rPr>
                <w:noProof/>
                <w:webHidden/>
              </w:rPr>
              <w:fldChar w:fldCharType="separate"/>
            </w:r>
            <w:r w:rsidR="0086360B">
              <w:rPr>
                <w:noProof/>
                <w:webHidden/>
              </w:rPr>
              <w:t>4</w:t>
            </w:r>
            <w:r w:rsidR="00E56C0C">
              <w:rPr>
                <w:noProof/>
                <w:webHidden/>
              </w:rPr>
              <w:fldChar w:fldCharType="end"/>
            </w:r>
          </w:hyperlink>
        </w:p>
        <w:p w14:paraId="3F45B32B" w14:textId="77777777" w:rsidR="00E56C0C" w:rsidRDefault="00ED4138">
          <w:pPr>
            <w:pStyle w:val="13"/>
            <w:tabs>
              <w:tab w:val="right" w:leader="dot" w:pos="9345"/>
            </w:tabs>
            <w:rPr>
              <w:rFonts w:eastAsiaTheme="minorEastAsia"/>
              <w:noProof/>
              <w:lang w:val="en-US"/>
            </w:rPr>
          </w:pPr>
          <w:hyperlink w:anchor="_Toc515607010" w:history="1">
            <w:r w:rsidR="00E56C0C" w:rsidRPr="000A0C8E">
              <w:rPr>
                <w:rStyle w:val="a3"/>
                <w:noProof/>
                <w:lang w:val="en-US"/>
              </w:rPr>
              <w:t>Definitions</w:t>
            </w:r>
            <w:r w:rsidR="00E56C0C">
              <w:rPr>
                <w:noProof/>
                <w:webHidden/>
              </w:rPr>
              <w:tab/>
            </w:r>
            <w:r w:rsidR="00E56C0C">
              <w:rPr>
                <w:noProof/>
                <w:webHidden/>
              </w:rPr>
              <w:fldChar w:fldCharType="begin"/>
            </w:r>
            <w:r w:rsidR="00E56C0C">
              <w:rPr>
                <w:noProof/>
                <w:webHidden/>
              </w:rPr>
              <w:instrText xml:space="preserve"> PAGEREF _Toc515607010 \h </w:instrText>
            </w:r>
            <w:r w:rsidR="00E56C0C">
              <w:rPr>
                <w:noProof/>
                <w:webHidden/>
              </w:rPr>
            </w:r>
            <w:r w:rsidR="00E56C0C">
              <w:rPr>
                <w:noProof/>
                <w:webHidden/>
              </w:rPr>
              <w:fldChar w:fldCharType="separate"/>
            </w:r>
            <w:r w:rsidR="0086360B">
              <w:rPr>
                <w:noProof/>
                <w:webHidden/>
              </w:rPr>
              <w:t>6</w:t>
            </w:r>
            <w:r w:rsidR="00E56C0C">
              <w:rPr>
                <w:noProof/>
                <w:webHidden/>
              </w:rPr>
              <w:fldChar w:fldCharType="end"/>
            </w:r>
          </w:hyperlink>
        </w:p>
        <w:p w14:paraId="6FF7493E" w14:textId="77777777" w:rsidR="00E56C0C" w:rsidRDefault="00ED4138">
          <w:pPr>
            <w:pStyle w:val="13"/>
            <w:tabs>
              <w:tab w:val="right" w:leader="dot" w:pos="9345"/>
            </w:tabs>
            <w:rPr>
              <w:rFonts w:eastAsiaTheme="minorEastAsia"/>
              <w:noProof/>
              <w:lang w:val="en-US"/>
            </w:rPr>
          </w:pPr>
          <w:hyperlink w:anchor="_Toc515607011" w:history="1">
            <w:r w:rsidR="00E56C0C" w:rsidRPr="000A0C8E">
              <w:rPr>
                <w:rStyle w:val="a3"/>
                <w:noProof/>
                <w:lang w:val="en-US"/>
              </w:rPr>
              <w:t>Introduction</w:t>
            </w:r>
            <w:r w:rsidR="00E56C0C">
              <w:rPr>
                <w:noProof/>
                <w:webHidden/>
              </w:rPr>
              <w:tab/>
            </w:r>
            <w:r w:rsidR="00E56C0C">
              <w:rPr>
                <w:noProof/>
                <w:webHidden/>
              </w:rPr>
              <w:fldChar w:fldCharType="begin"/>
            </w:r>
            <w:r w:rsidR="00E56C0C">
              <w:rPr>
                <w:noProof/>
                <w:webHidden/>
              </w:rPr>
              <w:instrText xml:space="preserve"> PAGEREF _Toc515607011 \h </w:instrText>
            </w:r>
            <w:r w:rsidR="00E56C0C">
              <w:rPr>
                <w:noProof/>
                <w:webHidden/>
              </w:rPr>
            </w:r>
            <w:r w:rsidR="00E56C0C">
              <w:rPr>
                <w:noProof/>
                <w:webHidden/>
              </w:rPr>
              <w:fldChar w:fldCharType="separate"/>
            </w:r>
            <w:r w:rsidR="0086360B">
              <w:rPr>
                <w:noProof/>
                <w:webHidden/>
              </w:rPr>
              <w:t>8</w:t>
            </w:r>
            <w:r w:rsidR="00E56C0C">
              <w:rPr>
                <w:noProof/>
                <w:webHidden/>
              </w:rPr>
              <w:fldChar w:fldCharType="end"/>
            </w:r>
          </w:hyperlink>
        </w:p>
        <w:p w14:paraId="7CC1BA71" w14:textId="77777777" w:rsidR="00E56C0C" w:rsidRDefault="00ED4138">
          <w:pPr>
            <w:pStyle w:val="13"/>
            <w:tabs>
              <w:tab w:val="right" w:leader="dot" w:pos="9345"/>
            </w:tabs>
            <w:rPr>
              <w:rFonts w:eastAsiaTheme="minorEastAsia"/>
              <w:noProof/>
              <w:lang w:val="en-US"/>
            </w:rPr>
          </w:pPr>
          <w:hyperlink w:anchor="_Toc515607012" w:history="1">
            <w:r w:rsidR="00E56C0C" w:rsidRPr="000A0C8E">
              <w:rPr>
                <w:rStyle w:val="a3"/>
                <w:noProof/>
                <w:lang w:val="en-US"/>
              </w:rPr>
              <w:t>Concept design</w:t>
            </w:r>
            <w:r w:rsidR="00E56C0C">
              <w:rPr>
                <w:noProof/>
                <w:webHidden/>
              </w:rPr>
              <w:tab/>
            </w:r>
            <w:r w:rsidR="00E56C0C">
              <w:rPr>
                <w:noProof/>
                <w:webHidden/>
              </w:rPr>
              <w:fldChar w:fldCharType="begin"/>
            </w:r>
            <w:r w:rsidR="00E56C0C">
              <w:rPr>
                <w:noProof/>
                <w:webHidden/>
              </w:rPr>
              <w:instrText xml:space="preserve"> PAGEREF _Toc515607012 \h </w:instrText>
            </w:r>
            <w:r w:rsidR="00E56C0C">
              <w:rPr>
                <w:noProof/>
                <w:webHidden/>
              </w:rPr>
            </w:r>
            <w:r w:rsidR="00E56C0C">
              <w:rPr>
                <w:noProof/>
                <w:webHidden/>
              </w:rPr>
              <w:fldChar w:fldCharType="separate"/>
            </w:r>
            <w:r w:rsidR="0086360B">
              <w:rPr>
                <w:noProof/>
                <w:webHidden/>
              </w:rPr>
              <w:t>15</w:t>
            </w:r>
            <w:r w:rsidR="00E56C0C">
              <w:rPr>
                <w:noProof/>
                <w:webHidden/>
              </w:rPr>
              <w:fldChar w:fldCharType="end"/>
            </w:r>
          </w:hyperlink>
        </w:p>
        <w:p w14:paraId="2F1A890C" w14:textId="77777777" w:rsidR="00E56C0C" w:rsidRDefault="00ED4138">
          <w:pPr>
            <w:pStyle w:val="13"/>
            <w:tabs>
              <w:tab w:val="right" w:leader="dot" w:pos="9345"/>
            </w:tabs>
            <w:rPr>
              <w:rFonts w:eastAsiaTheme="minorEastAsia"/>
              <w:noProof/>
              <w:lang w:val="en-US"/>
            </w:rPr>
          </w:pPr>
          <w:hyperlink w:anchor="_Toc515607013" w:history="1">
            <w:r w:rsidR="00E56C0C" w:rsidRPr="000A0C8E">
              <w:rPr>
                <w:rStyle w:val="a3"/>
                <w:noProof/>
                <w:lang w:val="en-US"/>
              </w:rPr>
              <w:t>Participants, Mitigation Programs and Environmental Units, Functional Modules and Operations</w:t>
            </w:r>
            <w:r w:rsidR="00E56C0C">
              <w:rPr>
                <w:noProof/>
                <w:webHidden/>
              </w:rPr>
              <w:tab/>
            </w:r>
            <w:r w:rsidR="00E56C0C">
              <w:rPr>
                <w:noProof/>
                <w:webHidden/>
              </w:rPr>
              <w:fldChar w:fldCharType="begin"/>
            </w:r>
            <w:r w:rsidR="00E56C0C">
              <w:rPr>
                <w:noProof/>
                <w:webHidden/>
              </w:rPr>
              <w:instrText xml:space="preserve"> PAGEREF _Toc515607013 \h </w:instrText>
            </w:r>
            <w:r w:rsidR="00E56C0C">
              <w:rPr>
                <w:noProof/>
                <w:webHidden/>
              </w:rPr>
            </w:r>
            <w:r w:rsidR="00E56C0C">
              <w:rPr>
                <w:noProof/>
                <w:webHidden/>
              </w:rPr>
              <w:fldChar w:fldCharType="separate"/>
            </w:r>
            <w:r w:rsidR="0086360B">
              <w:rPr>
                <w:noProof/>
                <w:webHidden/>
              </w:rPr>
              <w:t>23</w:t>
            </w:r>
            <w:r w:rsidR="00E56C0C">
              <w:rPr>
                <w:noProof/>
                <w:webHidden/>
              </w:rPr>
              <w:fldChar w:fldCharType="end"/>
            </w:r>
          </w:hyperlink>
        </w:p>
        <w:p w14:paraId="28085EE9" w14:textId="77777777" w:rsidR="00E56C0C" w:rsidRDefault="00ED4138">
          <w:pPr>
            <w:pStyle w:val="13"/>
            <w:tabs>
              <w:tab w:val="right" w:leader="dot" w:pos="9345"/>
            </w:tabs>
            <w:rPr>
              <w:rFonts w:eastAsiaTheme="minorEastAsia"/>
              <w:noProof/>
              <w:lang w:val="en-US"/>
            </w:rPr>
          </w:pPr>
          <w:hyperlink w:anchor="_Toc515607014" w:history="1">
            <w:r w:rsidR="00E56C0C" w:rsidRPr="000A0C8E">
              <w:rPr>
                <w:rStyle w:val="a3"/>
                <w:noProof/>
                <w:lang w:val="en-US"/>
              </w:rPr>
              <w:t>DAO IPCI offsetting carbon footprint scheme</w:t>
            </w:r>
            <w:r w:rsidR="00E56C0C">
              <w:rPr>
                <w:noProof/>
                <w:webHidden/>
              </w:rPr>
              <w:tab/>
            </w:r>
            <w:r w:rsidR="00E56C0C">
              <w:rPr>
                <w:noProof/>
                <w:webHidden/>
              </w:rPr>
              <w:fldChar w:fldCharType="begin"/>
            </w:r>
            <w:r w:rsidR="00E56C0C">
              <w:rPr>
                <w:noProof/>
                <w:webHidden/>
              </w:rPr>
              <w:instrText xml:space="preserve"> PAGEREF _Toc515607014 \h </w:instrText>
            </w:r>
            <w:r w:rsidR="00E56C0C">
              <w:rPr>
                <w:noProof/>
                <w:webHidden/>
              </w:rPr>
            </w:r>
            <w:r w:rsidR="00E56C0C">
              <w:rPr>
                <w:noProof/>
                <w:webHidden/>
              </w:rPr>
              <w:fldChar w:fldCharType="separate"/>
            </w:r>
            <w:r w:rsidR="0086360B">
              <w:rPr>
                <w:noProof/>
                <w:webHidden/>
              </w:rPr>
              <w:t>26</w:t>
            </w:r>
            <w:r w:rsidR="00E56C0C">
              <w:rPr>
                <w:noProof/>
                <w:webHidden/>
              </w:rPr>
              <w:fldChar w:fldCharType="end"/>
            </w:r>
          </w:hyperlink>
        </w:p>
        <w:p w14:paraId="642DEA68" w14:textId="77777777" w:rsidR="00E56C0C" w:rsidRDefault="00ED4138">
          <w:pPr>
            <w:pStyle w:val="13"/>
            <w:tabs>
              <w:tab w:val="right" w:leader="dot" w:pos="9345"/>
            </w:tabs>
            <w:rPr>
              <w:rFonts w:eastAsiaTheme="minorEastAsia"/>
              <w:noProof/>
              <w:lang w:val="en-US"/>
            </w:rPr>
          </w:pPr>
          <w:hyperlink w:anchor="_Toc515607015" w:history="1">
            <w:r w:rsidR="00E56C0C" w:rsidRPr="000A0C8E">
              <w:rPr>
                <w:rStyle w:val="a3"/>
                <w:rFonts w:eastAsia="Calibri"/>
                <w:noProof/>
                <w:lang w:val="en-US"/>
              </w:rPr>
              <w:t>‘</w:t>
            </w:r>
            <w:r w:rsidR="00E56C0C" w:rsidRPr="000A0C8E">
              <w:rPr>
                <w:rStyle w:val="a3"/>
                <w:noProof/>
                <w:lang w:val="en-US"/>
              </w:rPr>
              <w:t>Blockchainization’ of the Paris agreement</w:t>
            </w:r>
            <w:r w:rsidR="00E56C0C">
              <w:rPr>
                <w:noProof/>
                <w:webHidden/>
              </w:rPr>
              <w:tab/>
            </w:r>
            <w:r w:rsidR="00E56C0C">
              <w:rPr>
                <w:noProof/>
                <w:webHidden/>
              </w:rPr>
              <w:fldChar w:fldCharType="begin"/>
            </w:r>
            <w:r w:rsidR="00E56C0C">
              <w:rPr>
                <w:noProof/>
                <w:webHidden/>
              </w:rPr>
              <w:instrText xml:space="preserve"> PAGEREF _Toc515607015 \h </w:instrText>
            </w:r>
            <w:r w:rsidR="00E56C0C">
              <w:rPr>
                <w:noProof/>
                <w:webHidden/>
              </w:rPr>
            </w:r>
            <w:r w:rsidR="00E56C0C">
              <w:rPr>
                <w:noProof/>
                <w:webHidden/>
              </w:rPr>
              <w:fldChar w:fldCharType="separate"/>
            </w:r>
            <w:r w:rsidR="0086360B">
              <w:rPr>
                <w:noProof/>
                <w:webHidden/>
              </w:rPr>
              <w:t>27</w:t>
            </w:r>
            <w:r w:rsidR="00E56C0C">
              <w:rPr>
                <w:noProof/>
                <w:webHidden/>
              </w:rPr>
              <w:fldChar w:fldCharType="end"/>
            </w:r>
          </w:hyperlink>
        </w:p>
        <w:p w14:paraId="508688D9" w14:textId="77777777" w:rsidR="00E56C0C" w:rsidRDefault="00ED4138">
          <w:pPr>
            <w:pStyle w:val="13"/>
            <w:tabs>
              <w:tab w:val="right" w:leader="dot" w:pos="9345"/>
            </w:tabs>
            <w:rPr>
              <w:rFonts w:eastAsiaTheme="minorEastAsia"/>
              <w:noProof/>
              <w:lang w:val="en-US"/>
            </w:rPr>
          </w:pPr>
          <w:hyperlink w:anchor="_Toc515607016" w:history="1">
            <w:r w:rsidR="00E56C0C" w:rsidRPr="000A0C8E">
              <w:rPr>
                <w:rStyle w:val="a3"/>
                <w:noProof/>
                <w:lang w:val="en-US"/>
              </w:rPr>
              <w:t>Scheme for Carbon Offsetting and Reduction Scheme for International Aviation (CORSIA)</w:t>
            </w:r>
            <w:r w:rsidR="00E56C0C">
              <w:rPr>
                <w:noProof/>
                <w:webHidden/>
              </w:rPr>
              <w:tab/>
            </w:r>
            <w:r w:rsidR="00E56C0C">
              <w:rPr>
                <w:noProof/>
                <w:webHidden/>
              </w:rPr>
              <w:fldChar w:fldCharType="begin"/>
            </w:r>
            <w:r w:rsidR="00E56C0C">
              <w:rPr>
                <w:noProof/>
                <w:webHidden/>
              </w:rPr>
              <w:instrText xml:space="preserve"> PAGEREF _Toc515607016 \h </w:instrText>
            </w:r>
            <w:r w:rsidR="00E56C0C">
              <w:rPr>
                <w:noProof/>
                <w:webHidden/>
              </w:rPr>
            </w:r>
            <w:r w:rsidR="00E56C0C">
              <w:rPr>
                <w:noProof/>
                <w:webHidden/>
              </w:rPr>
              <w:fldChar w:fldCharType="separate"/>
            </w:r>
            <w:r w:rsidR="0086360B">
              <w:rPr>
                <w:noProof/>
                <w:webHidden/>
              </w:rPr>
              <w:t>31</w:t>
            </w:r>
            <w:r w:rsidR="00E56C0C">
              <w:rPr>
                <w:noProof/>
                <w:webHidden/>
              </w:rPr>
              <w:fldChar w:fldCharType="end"/>
            </w:r>
          </w:hyperlink>
        </w:p>
        <w:p w14:paraId="543CCA57" w14:textId="77777777" w:rsidR="00E56C0C" w:rsidRDefault="00ED4138">
          <w:pPr>
            <w:pStyle w:val="13"/>
            <w:tabs>
              <w:tab w:val="right" w:leader="dot" w:pos="9345"/>
            </w:tabs>
            <w:rPr>
              <w:rFonts w:eastAsiaTheme="minorEastAsia"/>
              <w:noProof/>
              <w:lang w:val="en-US"/>
            </w:rPr>
          </w:pPr>
          <w:hyperlink w:anchor="_Toc515607017" w:history="1">
            <w:r w:rsidR="00E56C0C" w:rsidRPr="000A0C8E">
              <w:rPr>
                <w:rStyle w:val="a3"/>
                <w:noProof/>
                <w:lang w:val="en-US"/>
              </w:rPr>
              <w:t>Mitigation Token</w:t>
            </w:r>
            <w:r w:rsidR="00E56C0C">
              <w:rPr>
                <w:noProof/>
                <w:webHidden/>
              </w:rPr>
              <w:tab/>
            </w:r>
            <w:r w:rsidR="00E56C0C">
              <w:rPr>
                <w:noProof/>
                <w:webHidden/>
              </w:rPr>
              <w:fldChar w:fldCharType="begin"/>
            </w:r>
            <w:r w:rsidR="00E56C0C">
              <w:rPr>
                <w:noProof/>
                <w:webHidden/>
              </w:rPr>
              <w:instrText xml:space="preserve"> PAGEREF _Toc515607017 \h </w:instrText>
            </w:r>
            <w:r w:rsidR="00E56C0C">
              <w:rPr>
                <w:noProof/>
                <w:webHidden/>
              </w:rPr>
            </w:r>
            <w:r w:rsidR="00E56C0C">
              <w:rPr>
                <w:noProof/>
                <w:webHidden/>
              </w:rPr>
              <w:fldChar w:fldCharType="separate"/>
            </w:r>
            <w:r w:rsidR="0086360B">
              <w:rPr>
                <w:noProof/>
                <w:webHidden/>
              </w:rPr>
              <w:t>32</w:t>
            </w:r>
            <w:r w:rsidR="00E56C0C">
              <w:rPr>
                <w:noProof/>
                <w:webHidden/>
              </w:rPr>
              <w:fldChar w:fldCharType="end"/>
            </w:r>
          </w:hyperlink>
        </w:p>
        <w:p w14:paraId="3B2B5FD2" w14:textId="77777777" w:rsidR="00E56C0C" w:rsidRDefault="00ED4138">
          <w:pPr>
            <w:pStyle w:val="13"/>
            <w:tabs>
              <w:tab w:val="right" w:leader="dot" w:pos="9345"/>
            </w:tabs>
            <w:rPr>
              <w:rFonts w:eastAsiaTheme="minorEastAsia"/>
              <w:noProof/>
              <w:lang w:val="en-US"/>
            </w:rPr>
          </w:pPr>
          <w:hyperlink w:anchor="_Toc515607018" w:history="1">
            <w:r w:rsidR="00E56C0C" w:rsidRPr="000A0C8E">
              <w:rPr>
                <w:rStyle w:val="a3"/>
                <w:noProof/>
                <w:lang w:val="en-US"/>
              </w:rPr>
              <w:t>Prospects and plans of development</w:t>
            </w:r>
            <w:r w:rsidR="00E56C0C">
              <w:rPr>
                <w:noProof/>
                <w:webHidden/>
              </w:rPr>
              <w:tab/>
            </w:r>
            <w:r w:rsidR="00E56C0C">
              <w:rPr>
                <w:noProof/>
                <w:webHidden/>
              </w:rPr>
              <w:fldChar w:fldCharType="begin"/>
            </w:r>
            <w:r w:rsidR="00E56C0C">
              <w:rPr>
                <w:noProof/>
                <w:webHidden/>
              </w:rPr>
              <w:instrText xml:space="preserve"> PAGEREF _Toc515607018 \h </w:instrText>
            </w:r>
            <w:r w:rsidR="00E56C0C">
              <w:rPr>
                <w:noProof/>
                <w:webHidden/>
              </w:rPr>
            </w:r>
            <w:r w:rsidR="00E56C0C">
              <w:rPr>
                <w:noProof/>
                <w:webHidden/>
              </w:rPr>
              <w:fldChar w:fldCharType="separate"/>
            </w:r>
            <w:r w:rsidR="0086360B">
              <w:rPr>
                <w:noProof/>
                <w:webHidden/>
              </w:rPr>
              <w:t>36</w:t>
            </w:r>
            <w:r w:rsidR="00E56C0C">
              <w:rPr>
                <w:noProof/>
                <w:webHidden/>
              </w:rPr>
              <w:fldChar w:fldCharType="end"/>
            </w:r>
          </w:hyperlink>
        </w:p>
        <w:p w14:paraId="1B334D04" w14:textId="77777777" w:rsidR="00DB656A" w:rsidRDefault="00DB656A">
          <w:r>
            <w:rPr>
              <w:b/>
              <w:bCs/>
            </w:rPr>
            <w:fldChar w:fldCharType="end"/>
          </w:r>
        </w:p>
      </w:sdtContent>
    </w:sdt>
    <w:p w14:paraId="1A1E60AE" w14:textId="77777777" w:rsidR="004A5224" w:rsidRPr="004A5224" w:rsidRDefault="00E972D8" w:rsidP="004A5224">
      <w:pPr>
        <w:rPr>
          <w:rFonts w:asciiTheme="majorHAnsi" w:eastAsiaTheme="minorEastAsia" w:hAnsiTheme="majorHAnsi" w:cstheme="majorBidi"/>
          <w:color w:val="5A5A5A" w:themeColor="text1" w:themeTint="A5"/>
          <w:spacing w:val="15"/>
          <w:sz w:val="32"/>
          <w:szCs w:val="32"/>
          <w:lang w:val="en-US"/>
        </w:rPr>
      </w:pPr>
      <w:r w:rsidRPr="004A5224">
        <w:rPr>
          <w:i/>
          <w:lang w:val="en-US"/>
        </w:rPr>
        <w:br w:type="page"/>
      </w:r>
    </w:p>
    <w:p w14:paraId="1A6FBEF7" w14:textId="77777777" w:rsidR="00C817A3" w:rsidRPr="00C817A3" w:rsidRDefault="00C817A3" w:rsidP="0029607D">
      <w:pPr>
        <w:pStyle w:val="1"/>
        <w:rPr>
          <w:lang w:val="en-US"/>
        </w:rPr>
      </w:pPr>
      <w:bookmarkStart w:id="0" w:name="_Toc515607009"/>
      <w:r w:rsidRPr="00C817A3">
        <w:rPr>
          <w:lang w:val="en-US"/>
        </w:rPr>
        <w:lastRenderedPageBreak/>
        <w:t>Executive Summary</w:t>
      </w:r>
      <w:bookmarkEnd w:id="0"/>
    </w:p>
    <w:p w14:paraId="543527BE" w14:textId="77777777" w:rsidR="00CB4C50" w:rsidRDefault="00CB4C50" w:rsidP="00C817A3">
      <w:pPr>
        <w:jc w:val="both"/>
        <w:rPr>
          <w:lang w:val="en-US"/>
        </w:rPr>
      </w:pPr>
    </w:p>
    <w:p w14:paraId="0EB2A6AB" w14:textId="77777777" w:rsidR="00CB4C50" w:rsidRDefault="00CB4C50" w:rsidP="00CB4C50">
      <w:pPr>
        <w:jc w:val="both"/>
        <w:rPr>
          <w:lang w:val="en-US"/>
        </w:rPr>
      </w:pPr>
      <w:r w:rsidRPr="00CB4C50">
        <w:rPr>
          <w:lang w:val="en-US"/>
        </w:rPr>
        <w:t xml:space="preserve">It is quite common for the people stumbling upon complicated issues to set hopes on a central authority to resolve them rather than proposing an algorithm for the individuals to preserve their fundamental right to economic choice and settle problems on decentralized peer-to-peer basis. </w:t>
      </w:r>
    </w:p>
    <w:p w14:paraId="4BFDD5B5" w14:textId="3AF23867" w:rsidR="00C817A3" w:rsidRPr="00C817A3" w:rsidRDefault="00CB4C50" w:rsidP="00C817A3">
      <w:pPr>
        <w:jc w:val="both"/>
        <w:rPr>
          <w:lang w:val="en-US"/>
        </w:rPr>
      </w:pPr>
      <w:r w:rsidRPr="00CB4C50">
        <w:rPr>
          <w:lang w:val="en-US"/>
        </w:rPr>
        <w:t>Ronald Coase, 1910 – 2013, a British economist, Nobel Prize Winner in Economic Sciences in 1991, proposed a general market-approach to the problem of social cost and a solution based on clearly defined property rights. The approach introduced the concept of delimitation of rights to perform activities harmful to third party and provided the basis for the market-based distribution of limited resources as a production factor and for a peer-to-peer settlement of reciprocal damage of part A (the manufacturer) and part B (the third party).</w:t>
      </w:r>
    </w:p>
    <w:p w14:paraId="63FC61A2" w14:textId="2A7EEA57" w:rsidR="00C817A3" w:rsidRPr="00C817A3" w:rsidRDefault="00B70DC6" w:rsidP="00C817A3">
      <w:pPr>
        <w:jc w:val="both"/>
        <w:rPr>
          <w:lang w:val="en-US"/>
        </w:rPr>
      </w:pPr>
      <w:r>
        <w:rPr>
          <w:lang w:val="en-US"/>
        </w:rPr>
        <w:t>The a</w:t>
      </w:r>
      <w:r w:rsidRPr="00C817A3">
        <w:rPr>
          <w:lang w:val="en-US"/>
        </w:rPr>
        <w:t xml:space="preserve">dvance </w:t>
      </w:r>
      <w:r w:rsidR="00C817A3" w:rsidRPr="00C817A3">
        <w:rPr>
          <w:lang w:val="en-US"/>
        </w:rPr>
        <w:t xml:space="preserve">of decentralized arbitration, distributed ledger, </w:t>
      </w:r>
      <w:r w:rsidR="00522D3B">
        <w:rPr>
          <w:lang w:val="en-US"/>
        </w:rPr>
        <w:t xml:space="preserve">Turing complete, </w:t>
      </w:r>
      <w:r>
        <w:rPr>
          <w:lang w:val="en-US"/>
        </w:rPr>
        <w:t xml:space="preserve">and </w:t>
      </w:r>
      <w:r w:rsidR="00522D3B">
        <w:rPr>
          <w:lang w:val="en-US"/>
        </w:rPr>
        <w:t>momentum</w:t>
      </w:r>
      <w:r w:rsidR="00C817A3" w:rsidRPr="00C817A3">
        <w:rPr>
          <w:lang w:val="en-US"/>
        </w:rPr>
        <w:t xml:space="preserve"> accounting technologies such as blockchain </w:t>
      </w:r>
      <w:r>
        <w:rPr>
          <w:lang w:val="en-US"/>
        </w:rPr>
        <w:t>critically</w:t>
      </w:r>
      <w:r w:rsidRPr="00C817A3">
        <w:rPr>
          <w:lang w:val="en-US"/>
        </w:rPr>
        <w:t xml:space="preserve"> </w:t>
      </w:r>
      <w:r w:rsidR="00C817A3" w:rsidRPr="00C817A3">
        <w:rPr>
          <w:lang w:val="en-US"/>
        </w:rPr>
        <w:t xml:space="preserve">decreases transaction costs for peer-to-peer interactions and thus </w:t>
      </w:r>
      <w:r>
        <w:rPr>
          <w:lang w:val="en-US"/>
        </w:rPr>
        <w:t>allows</w:t>
      </w:r>
      <w:r w:rsidRPr="00C817A3">
        <w:rPr>
          <w:lang w:val="en-US"/>
        </w:rPr>
        <w:t xml:space="preserve"> </w:t>
      </w:r>
      <w:r w:rsidR="00C817A3" w:rsidRPr="00C817A3">
        <w:rPr>
          <w:lang w:val="en-US"/>
        </w:rPr>
        <w:t xml:space="preserve">for </w:t>
      </w:r>
      <w:r>
        <w:rPr>
          <w:lang w:val="en-US"/>
        </w:rPr>
        <w:t xml:space="preserve">the </w:t>
      </w:r>
      <w:r w:rsidR="00C817A3" w:rsidRPr="00C817A3">
        <w:rPr>
          <w:lang w:val="en-US"/>
        </w:rPr>
        <w:t xml:space="preserve">further development of </w:t>
      </w:r>
      <w:r>
        <w:rPr>
          <w:lang w:val="en-US"/>
        </w:rPr>
        <w:t xml:space="preserve">the </w:t>
      </w:r>
      <w:r w:rsidR="00C817A3" w:rsidRPr="00C817A3">
        <w:rPr>
          <w:lang w:val="en-US"/>
        </w:rPr>
        <w:t>Coase paradigm.</w:t>
      </w:r>
      <w:r>
        <w:rPr>
          <w:lang w:val="en-US"/>
        </w:rPr>
        <w:t xml:space="preserve"> Blockchain technology </w:t>
      </w:r>
      <w:proofErr w:type="gramStart"/>
      <w:r>
        <w:rPr>
          <w:lang w:val="en-US"/>
        </w:rPr>
        <w:t>can be applied</w:t>
      </w:r>
      <w:proofErr w:type="gramEnd"/>
      <w:r>
        <w:rPr>
          <w:lang w:val="en-US"/>
        </w:rPr>
        <w:t xml:space="preserve"> to mitigate the collateral damage</w:t>
      </w:r>
      <w:r w:rsidR="005D670C">
        <w:rPr>
          <w:rStyle w:val="af5"/>
          <w:lang w:val="en-US"/>
        </w:rPr>
        <w:footnoteReference w:id="1"/>
      </w:r>
      <w:r>
        <w:rPr>
          <w:lang w:val="en-US"/>
        </w:rPr>
        <w:t xml:space="preserve"> caused by economic activities</w:t>
      </w:r>
      <w:r w:rsidR="00AA30BE">
        <w:rPr>
          <w:lang w:val="en-US"/>
        </w:rPr>
        <w:t>; it</w:t>
      </w:r>
      <w:r>
        <w:rPr>
          <w:lang w:val="en-US"/>
        </w:rPr>
        <w:t xml:space="preserve"> requires</w:t>
      </w:r>
      <w:r w:rsidR="00AA30BE">
        <w:rPr>
          <w:lang w:val="en-US"/>
        </w:rPr>
        <w:t xml:space="preserve"> market-based infrastructure</w:t>
      </w:r>
      <w:r w:rsidR="00C817A3" w:rsidRPr="00C817A3">
        <w:rPr>
          <w:lang w:val="en-US"/>
        </w:rPr>
        <w:t xml:space="preserve"> </w:t>
      </w:r>
      <w:r w:rsidR="00AA30BE">
        <w:rPr>
          <w:lang w:val="en-US"/>
        </w:rPr>
        <w:t xml:space="preserve">that supports </w:t>
      </w:r>
      <w:r w:rsidR="00C817A3" w:rsidRPr="00C817A3">
        <w:rPr>
          <w:lang w:val="en-US"/>
        </w:rPr>
        <w:t xml:space="preserve">decentralized peer-to-peer </w:t>
      </w:r>
      <w:r w:rsidR="00AA30BE">
        <w:rPr>
          <w:lang w:val="en-US"/>
        </w:rPr>
        <w:t xml:space="preserve">interactions, the </w:t>
      </w:r>
      <w:r w:rsidR="00C817A3" w:rsidRPr="00C817A3">
        <w:rPr>
          <w:lang w:val="en-US"/>
        </w:rPr>
        <w:t xml:space="preserve">distribution of liability, and settlement by means of mitigation </w:t>
      </w:r>
      <w:r w:rsidR="001B1D2C">
        <w:rPr>
          <w:lang w:val="en-US"/>
        </w:rPr>
        <w:t>instruments</w:t>
      </w:r>
      <w:r w:rsidR="00C817A3" w:rsidRPr="00C817A3">
        <w:rPr>
          <w:lang w:val="en-US"/>
        </w:rPr>
        <w:t xml:space="preserve">. </w:t>
      </w:r>
    </w:p>
    <w:p w14:paraId="74E77760" w14:textId="6D07E445" w:rsidR="00AA30BE" w:rsidRDefault="00AA30BE" w:rsidP="00C817A3">
      <w:pPr>
        <w:jc w:val="both"/>
        <w:rPr>
          <w:lang w:val="en-US"/>
        </w:rPr>
      </w:pPr>
      <w:r>
        <w:rPr>
          <w:lang w:val="en-US"/>
        </w:rPr>
        <w:t xml:space="preserve">The first version of </w:t>
      </w:r>
      <w:r w:rsidR="00C817A3" w:rsidRPr="00C817A3">
        <w:rPr>
          <w:lang w:val="en-US"/>
        </w:rPr>
        <w:t xml:space="preserve">DAO IPCI </w:t>
      </w:r>
      <w:r>
        <w:rPr>
          <w:lang w:val="en-US"/>
        </w:rPr>
        <w:t>allows participants in</w:t>
      </w:r>
      <w:r w:rsidR="00C817A3" w:rsidRPr="00C817A3">
        <w:rPr>
          <w:lang w:val="en-US"/>
        </w:rPr>
        <w:t xml:space="preserve"> </w:t>
      </w:r>
      <w:r>
        <w:rPr>
          <w:lang w:val="en-US"/>
        </w:rPr>
        <w:t xml:space="preserve">greenhouse gas (GHG) </w:t>
      </w:r>
      <w:r w:rsidR="00C817A3" w:rsidRPr="00C817A3">
        <w:rPr>
          <w:lang w:val="en-US"/>
        </w:rPr>
        <w:t xml:space="preserve">credit-based or quota-based </w:t>
      </w:r>
      <w:r>
        <w:rPr>
          <w:lang w:val="en-US"/>
        </w:rPr>
        <w:t>emissions trading</w:t>
      </w:r>
      <w:r w:rsidRPr="00C817A3">
        <w:rPr>
          <w:lang w:val="en-US"/>
        </w:rPr>
        <w:t xml:space="preserve"> </w:t>
      </w:r>
      <w:r>
        <w:rPr>
          <w:lang w:val="en-US"/>
        </w:rPr>
        <w:t xml:space="preserve">schemes to account for </w:t>
      </w:r>
      <w:r w:rsidR="00686A27">
        <w:rPr>
          <w:lang w:val="en-US"/>
        </w:rPr>
        <w:t>performance of pledges</w:t>
      </w:r>
      <w:r>
        <w:rPr>
          <w:lang w:val="en-US"/>
        </w:rPr>
        <w:t xml:space="preserve"> </w:t>
      </w:r>
      <w:r w:rsidR="00B008AD">
        <w:rPr>
          <w:lang w:val="en-US"/>
        </w:rPr>
        <w:t xml:space="preserve">made </w:t>
      </w:r>
      <w:r>
        <w:rPr>
          <w:lang w:val="en-US"/>
        </w:rPr>
        <w:t xml:space="preserve">towards these targets. </w:t>
      </w:r>
    </w:p>
    <w:p w14:paraId="331CC7F1" w14:textId="2C8A9336" w:rsidR="00C817A3" w:rsidRPr="00B008AD" w:rsidRDefault="00AA30BE" w:rsidP="00522D3B">
      <w:pPr>
        <w:jc w:val="both"/>
        <w:rPr>
          <w:bCs/>
          <w:lang w:val="en-US"/>
        </w:rPr>
      </w:pPr>
      <w:r>
        <w:rPr>
          <w:iCs/>
          <w:lang w:val="en-US"/>
        </w:rPr>
        <w:t xml:space="preserve">The </w:t>
      </w:r>
      <w:r w:rsidR="00C817A3" w:rsidRPr="00C817A3">
        <w:rPr>
          <w:iCs/>
          <w:lang w:val="en-US"/>
        </w:rPr>
        <w:t xml:space="preserve">DAO IPCI design objective is to provide common space, common space fabric, common tools and </w:t>
      </w:r>
      <w:r>
        <w:rPr>
          <w:iCs/>
          <w:lang w:val="en-US"/>
        </w:rPr>
        <w:t xml:space="preserve">an </w:t>
      </w:r>
      <w:r w:rsidR="00C817A3" w:rsidRPr="00C817A3">
        <w:rPr>
          <w:iCs/>
          <w:lang w:val="en-US"/>
        </w:rPr>
        <w:t xml:space="preserve">ecosystem that </w:t>
      </w:r>
      <w:r w:rsidR="00B008AD">
        <w:rPr>
          <w:iCs/>
          <w:lang w:val="en-US"/>
        </w:rPr>
        <w:t>is</w:t>
      </w:r>
      <w:r w:rsidR="00C817A3" w:rsidRPr="00C817A3">
        <w:rPr>
          <w:iCs/>
          <w:lang w:val="en-US"/>
        </w:rPr>
        <w:t xml:space="preserve"> un</w:t>
      </w:r>
      <w:r w:rsidR="00B008AD">
        <w:rPr>
          <w:iCs/>
          <w:lang w:val="en-US"/>
        </w:rPr>
        <w:t>i</w:t>
      </w:r>
      <w:r w:rsidR="00C817A3" w:rsidRPr="00C817A3">
        <w:rPr>
          <w:iCs/>
          <w:lang w:val="en-US"/>
        </w:rPr>
        <w:t xml:space="preserve">versal, reliable, easy-to-use, </w:t>
      </w:r>
      <w:r w:rsidR="00522D3B" w:rsidRPr="00C817A3">
        <w:rPr>
          <w:iCs/>
          <w:lang w:val="en-US"/>
        </w:rPr>
        <w:t>and transparent</w:t>
      </w:r>
      <w:r w:rsidR="00B008AD">
        <w:rPr>
          <w:iCs/>
          <w:lang w:val="en-US"/>
        </w:rPr>
        <w:t xml:space="preserve"> and that </w:t>
      </w:r>
      <w:r w:rsidR="00C817A3" w:rsidRPr="00C817A3">
        <w:rPr>
          <w:iCs/>
          <w:lang w:val="en-US"/>
        </w:rPr>
        <w:t>allow</w:t>
      </w:r>
      <w:r w:rsidR="00B008AD">
        <w:rPr>
          <w:iCs/>
          <w:lang w:val="en-US"/>
        </w:rPr>
        <w:t>s</w:t>
      </w:r>
      <w:r w:rsidR="00C817A3" w:rsidRPr="00C817A3">
        <w:rPr>
          <w:iCs/>
          <w:lang w:val="en-US"/>
        </w:rPr>
        <w:t xml:space="preserve"> diverse stakeholders, including businesses and individuals, to</w:t>
      </w:r>
      <w:r w:rsidR="00522D3B">
        <w:rPr>
          <w:iCs/>
          <w:lang w:val="en-US"/>
        </w:rPr>
        <w:t xml:space="preserve"> </w:t>
      </w:r>
      <w:r w:rsidR="00522D3B" w:rsidRPr="00B008AD">
        <w:rPr>
          <w:iCs/>
          <w:lang w:val="en-US"/>
        </w:rPr>
        <w:t>join existing programs or launch new programs</w:t>
      </w:r>
      <w:r w:rsidR="00522D3B">
        <w:rPr>
          <w:iCs/>
          <w:lang w:val="en-US"/>
        </w:rPr>
        <w:t>;</w:t>
      </w:r>
      <w:r w:rsidR="00522D3B" w:rsidRPr="00B008AD">
        <w:rPr>
          <w:iCs/>
          <w:lang w:val="en-US"/>
        </w:rPr>
        <w:t xml:space="preserve"> </w:t>
      </w:r>
      <w:r w:rsidR="00C817A3" w:rsidRPr="00B008AD">
        <w:rPr>
          <w:iCs/>
          <w:lang w:val="en-US"/>
        </w:rPr>
        <w:t>register</w:t>
      </w:r>
      <w:r w:rsidR="00522D3B">
        <w:rPr>
          <w:iCs/>
          <w:lang w:val="en-US"/>
        </w:rPr>
        <w:t>,</w:t>
      </w:r>
      <w:r w:rsidR="00C817A3" w:rsidRPr="00B008AD">
        <w:rPr>
          <w:iCs/>
          <w:lang w:val="en-US"/>
        </w:rPr>
        <w:t xml:space="preserve"> </w:t>
      </w:r>
      <w:r w:rsidR="00522D3B">
        <w:rPr>
          <w:iCs/>
          <w:lang w:val="en-US"/>
        </w:rPr>
        <w:t>transfer</w:t>
      </w:r>
      <w:r w:rsidR="00522D3B" w:rsidRPr="00B008AD">
        <w:rPr>
          <w:iCs/>
          <w:lang w:val="en-US"/>
        </w:rPr>
        <w:t xml:space="preserve"> and trade </w:t>
      </w:r>
      <w:r w:rsidR="00522D3B">
        <w:rPr>
          <w:iCs/>
          <w:lang w:val="en-US"/>
        </w:rPr>
        <w:t>mitigation instruments</w:t>
      </w:r>
      <w:r w:rsidR="00B008AD">
        <w:rPr>
          <w:iCs/>
          <w:lang w:val="en-US"/>
        </w:rPr>
        <w:t>;</w:t>
      </w:r>
      <w:r w:rsidR="00522D3B">
        <w:rPr>
          <w:iCs/>
          <w:lang w:val="en-US"/>
        </w:rPr>
        <w:t xml:space="preserve"> </w:t>
      </w:r>
      <w:r w:rsidR="00C817A3" w:rsidRPr="00B008AD">
        <w:rPr>
          <w:iCs/>
          <w:lang w:val="en-US"/>
        </w:rPr>
        <w:t xml:space="preserve">offset </w:t>
      </w:r>
      <w:r w:rsidR="00522D3B">
        <w:rPr>
          <w:iCs/>
          <w:lang w:val="en-US"/>
        </w:rPr>
        <w:t xml:space="preserve">collateral damage, including </w:t>
      </w:r>
      <w:r w:rsidR="00C817A3" w:rsidRPr="00B008AD">
        <w:rPr>
          <w:iCs/>
          <w:lang w:val="en-US"/>
        </w:rPr>
        <w:t>carbon footprint.</w:t>
      </w:r>
    </w:p>
    <w:p w14:paraId="722F33A0" w14:textId="7E008443" w:rsidR="00C817A3" w:rsidRPr="00C817A3" w:rsidRDefault="00C6342D" w:rsidP="00C817A3">
      <w:pPr>
        <w:jc w:val="both"/>
        <w:rPr>
          <w:bCs/>
          <w:lang w:val="en-US"/>
        </w:rPr>
      </w:pPr>
      <w:r>
        <w:rPr>
          <w:bCs/>
          <w:lang w:val="en-US"/>
        </w:rPr>
        <w:t xml:space="preserve">DAO IPCI is not an environmental mitigation program per se. </w:t>
      </w:r>
      <w:r w:rsidR="00C817A3" w:rsidRPr="00C817A3">
        <w:rPr>
          <w:bCs/>
          <w:lang w:val="en-US"/>
        </w:rPr>
        <w:t xml:space="preserve">As </w:t>
      </w:r>
      <w:r w:rsidR="00E44F83">
        <w:rPr>
          <w:bCs/>
          <w:lang w:val="en-US"/>
        </w:rPr>
        <w:t xml:space="preserve">a blockchain ecosystem focused on mitigating </w:t>
      </w:r>
      <w:r w:rsidR="00C624A2">
        <w:rPr>
          <w:bCs/>
          <w:lang w:val="en-US"/>
        </w:rPr>
        <w:t>negative societal externalities</w:t>
      </w:r>
      <w:r w:rsidR="00E44F83">
        <w:rPr>
          <w:bCs/>
          <w:lang w:val="en-US"/>
        </w:rPr>
        <w:t>,</w:t>
      </w:r>
      <w:r w:rsidR="00C817A3" w:rsidRPr="00C817A3">
        <w:rPr>
          <w:bCs/>
          <w:lang w:val="en-US"/>
        </w:rPr>
        <w:t xml:space="preserve"> DAO IPCI is </w:t>
      </w:r>
      <w:r w:rsidR="00E44F83">
        <w:rPr>
          <w:bCs/>
          <w:lang w:val="en-US"/>
        </w:rPr>
        <w:t>a</w:t>
      </w:r>
      <w:r w:rsidR="00C817A3" w:rsidRPr="00C817A3">
        <w:rPr>
          <w:bCs/>
          <w:lang w:val="en-US"/>
        </w:rPr>
        <w:t xml:space="preserve"> digital environment </w:t>
      </w:r>
      <w:r w:rsidR="00E44F83">
        <w:rPr>
          <w:bCs/>
          <w:lang w:val="en-US"/>
        </w:rPr>
        <w:t>built on smart contracts designed</w:t>
      </w:r>
      <w:r w:rsidR="00E44F83" w:rsidRPr="00C817A3">
        <w:rPr>
          <w:bCs/>
          <w:lang w:val="en-US"/>
        </w:rPr>
        <w:t xml:space="preserve"> </w:t>
      </w:r>
      <w:r w:rsidR="00C817A3" w:rsidRPr="00C817A3">
        <w:rPr>
          <w:bCs/>
          <w:lang w:val="en-US"/>
        </w:rPr>
        <w:t>to minimize transaction costs</w:t>
      </w:r>
      <w:r w:rsidR="00E44F83">
        <w:rPr>
          <w:bCs/>
          <w:lang w:val="en-US"/>
        </w:rPr>
        <w:t xml:space="preserve"> and</w:t>
      </w:r>
      <w:r w:rsidR="00C817A3" w:rsidRPr="00C817A3">
        <w:rPr>
          <w:bCs/>
          <w:lang w:val="en-US"/>
        </w:rPr>
        <w:t xml:space="preserve"> to make </w:t>
      </w:r>
      <w:r w:rsidR="00E44F83">
        <w:rPr>
          <w:bCs/>
          <w:lang w:val="en-US"/>
        </w:rPr>
        <w:t xml:space="preserve">the </w:t>
      </w:r>
      <w:r w:rsidR="00C817A3" w:rsidRPr="00C817A3">
        <w:rPr>
          <w:bCs/>
          <w:lang w:val="en-US"/>
        </w:rPr>
        <w:t>issuance and transfer of mitigation units</w:t>
      </w:r>
      <w:r w:rsidR="00E44F83">
        <w:rPr>
          <w:bCs/>
          <w:lang w:val="en-US"/>
        </w:rPr>
        <w:t>--</w:t>
      </w:r>
      <w:r w:rsidR="00C817A3" w:rsidRPr="00C817A3">
        <w:rPr>
          <w:bCs/>
          <w:lang w:val="en-US"/>
        </w:rPr>
        <w:t>including internationally transferred mitigation outcomes</w:t>
      </w:r>
      <w:r w:rsidR="00E44F83">
        <w:rPr>
          <w:bCs/>
          <w:lang w:val="en-US"/>
        </w:rPr>
        <w:t>--</w:t>
      </w:r>
      <w:r w:rsidR="00C817A3" w:rsidRPr="00C817A3">
        <w:rPr>
          <w:bCs/>
          <w:lang w:val="en-US"/>
        </w:rPr>
        <w:t xml:space="preserve">highly reliable, transparent and </w:t>
      </w:r>
      <w:r w:rsidR="00E44F83">
        <w:rPr>
          <w:bCs/>
          <w:lang w:val="en-US"/>
        </w:rPr>
        <w:t xml:space="preserve">protected from manipulation of </w:t>
      </w:r>
      <w:r w:rsidR="00C817A3" w:rsidRPr="00C817A3">
        <w:rPr>
          <w:bCs/>
          <w:lang w:val="en-US"/>
        </w:rPr>
        <w:t xml:space="preserve">centralized </w:t>
      </w:r>
      <w:r w:rsidR="00E44F83">
        <w:rPr>
          <w:bCs/>
          <w:lang w:val="en-US"/>
        </w:rPr>
        <w:t>power</w:t>
      </w:r>
      <w:r w:rsidR="00C817A3" w:rsidRPr="00C817A3">
        <w:rPr>
          <w:bCs/>
          <w:lang w:val="en-US"/>
        </w:rPr>
        <w:t>.</w:t>
      </w:r>
    </w:p>
    <w:p w14:paraId="17DC817B" w14:textId="41EDB0D6" w:rsidR="00C817A3" w:rsidRPr="00C817A3" w:rsidRDefault="00C817A3" w:rsidP="00C817A3">
      <w:pPr>
        <w:jc w:val="both"/>
        <w:rPr>
          <w:lang w:val="en-US"/>
        </w:rPr>
      </w:pPr>
      <w:r w:rsidRPr="00C817A3">
        <w:rPr>
          <w:lang w:val="en-US"/>
        </w:rPr>
        <w:t xml:space="preserve">Decentralization </w:t>
      </w:r>
      <w:proofErr w:type="gramStart"/>
      <w:r w:rsidRPr="00C817A3">
        <w:rPr>
          <w:lang w:val="en-US"/>
        </w:rPr>
        <w:t>is ensured</w:t>
      </w:r>
      <w:proofErr w:type="gramEnd"/>
      <w:r w:rsidRPr="00C817A3">
        <w:rPr>
          <w:lang w:val="en-US"/>
        </w:rPr>
        <w:t xml:space="preserve"> at the key level of different mitigation programs operating in the same digital environment. </w:t>
      </w:r>
      <w:r w:rsidRPr="00104318">
        <w:rPr>
          <w:lang w:val="en-US"/>
        </w:rPr>
        <w:t xml:space="preserve">There are no technical restrictions as to who may launch </w:t>
      </w:r>
      <w:r w:rsidR="00104318">
        <w:rPr>
          <w:lang w:val="en-US"/>
        </w:rPr>
        <w:t xml:space="preserve">an </w:t>
      </w:r>
      <w:r w:rsidRPr="00104318">
        <w:rPr>
          <w:lang w:val="en-US"/>
        </w:rPr>
        <w:t>autonomous mitigation program in DAO IPCI.</w:t>
      </w:r>
      <w:r w:rsidRPr="00C817A3">
        <w:rPr>
          <w:lang w:val="en-US"/>
        </w:rPr>
        <w:t xml:space="preserve"> Existing mandatory</w:t>
      </w:r>
      <w:r w:rsidR="00AF5611">
        <w:rPr>
          <w:lang w:val="en-US"/>
        </w:rPr>
        <w:t xml:space="preserve"> or</w:t>
      </w:r>
      <w:r w:rsidRPr="00C817A3">
        <w:rPr>
          <w:lang w:val="en-US"/>
        </w:rPr>
        <w:t xml:space="preserve"> voluntary, large and small programs of diverse scopes of activities</w:t>
      </w:r>
      <w:r w:rsidR="00AF5611">
        <w:rPr>
          <w:lang w:val="en-US"/>
        </w:rPr>
        <w:t xml:space="preserve"> and</w:t>
      </w:r>
      <w:r w:rsidRPr="00C817A3">
        <w:rPr>
          <w:lang w:val="en-US"/>
        </w:rPr>
        <w:t xml:space="preserve"> jurisdictions, as well as businesses, NGOs and individuals may create independent DAO to implement specific programs and projects and perform transactions in DAO IPCI. Independent mitigation programs within DAO IPCI may interlace and form a web of DAOs</w:t>
      </w:r>
      <w:r w:rsidR="009A70AB">
        <w:rPr>
          <w:lang w:val="en-US"/>
        </w:rPr>
        <w:t xml:space="preserve"> that share selected modules and protocols with their peers</w:t>
      </w:r>
      <w:r w:rsidRPr="00C817A3">
        <w:rPr>
          <w:lang w:val="en-US"/>
        </w:rPr>
        <w:t xml:space="preserve">. </w:t>
      </w:r>
    </w:p>
    <w:p w14:paraId="01600502" w14:textId="0E22A321" w:rsidR="00C817A3" w:rsidRPr="00C817A3" w:rsidRDefault="00362C78" w:rsidP="00C817A3">
      <w:pPr>
        <w:jc w:val="both"/>
        <w:rPr>
          <w:lang w:val="en-US"/>
        </w:rPr>
      </w:pPr>
      <w:r w:rsidRPr="00362C78">
        <w:rPr>
          <w:rFonts w:ascii="Calibri" w:eastAsia="Calibri" w:hAnsi="Calibri" w:cs="Times New Roman"/>
          <w:lang w:val="en-US"/>
        </w:rPr>
        <w:t xml:space="preserve">Mitigation Token (MITO) </w:t>
      </w:r>
      <w:proofErr w:type="gramStart"/>
      <w:r w:rsidR="00522D3B">
        <w:rPr>
          <w:rFonts w:ascii="Calibri" w:eastAsia="Calibri" w:hAnsi="Calibri" w:cs="Times New Roman"/>
          <w:lang w:val="en-US"/>
        </w:rPr>
        <w:t>is intended</w:t>
      </w:r>
      <w:proofErr w:type="gramEnd"/>
      <w:r w:rsidR="00522D3B">
        <w:rPr>
          <w:rFonts w:ascii="Calibri" w:eastAsia="Calibri" w:hAnsi="Calibri" w:cs="Times New Roman"/>
          <w:lang w:val="en-US"/>
        </w:rPr>
        <w:t xml:space="preserve"> as a currency, payment token for MITO Market</w:t>
      </w:r>
      <w:r w:rsidRPr="00362C78">
        <w:rPr>
          <w:rFonts w:ascii="Calibri" w:eastAsia="Calibri" w:hAnsi="Calibri" w:cs="Times New Roman"/>
          <w:lang w:val="en-US"/>
        </w:rPr>
        <w:t xml:space="preserve">. MITO </w:t>
      </w:r>
      <w:proofErr w:type="gramStart"/>
      <w:r w:rsidRPr="00362C78">
        <w:rPr>
          <w:rFonts w:ascii="Calibri" w:eastAsia="Calibri" w:hAnsi="Calibri" w:cs="Times New Roman"/>
          <w:lang w:val="en-US"/>
        </w:rPr>
        <w:t>is intended</w:t>
      </w:r>
      <w:proofErr w:type="gramEnd"/>
      <w:r w:rsidRPr="00362C78">
        <w:rPr>
          <w:rFonts w:ascii="Calibri" w:eastAsia="Calibri" w:hAnsi="Calibri" w:cs="Times New Roman"/>
          <w:lang w:val="en-US"/>
        </w:rPr>
        <w:t xml:space="preserve"> to serve for the purposes of exchange of numerous and diverse environmental units, natural capital asset-based tokens representing </w:t>
      </w:r>
      <w:r w:rsidRPr="00362C78">
        <w:rPr>
          <w:rFonts w:ascii="Calibri" w:eastAsia="Calibri" w:hAnsi="Calibri" w:cs="Times New Roman"/>
          <w:i/>
          <w:lang w:val="en-US"/>
        </w:rPr>
        <w:t>inter alia</w:t>
      </w:r>
      <w:r w:rsidRPr="00362C78">
        <w:rPr>
          <w:rFonts w:ascii="Calibri" w:eastAsia="Calibri" w:hAnsi="Calibri" w:cs="Times New Roman"/>
          <w:lang w:val="en-US"/>
        </w:rPr>
        <w:t xml:space="preserve"> societal costs and mitigation outcomes.</w:t>
      </w:r>
      <w:r w:rsidRPr="005C52EA">
        <w:rPr>
          <w:rFonts w:ascii="Calibri" w:eastAsia="Calibri" w:hAnsi="Calibri" w:cs="Times New Roman"/>
          <w:b/>
          <w:lang w:val="en-US"/>
        </w:rPr>
        <w:t xml:space="preserve"> </w:t>
      </w:r>
      <w:r w:rsidR="00C817A3" w:rsidRPr="00C817A3">
        <w:rPr>
          <w:lang w:val="en-US"/>
        </w:rPr>
        <w:t>Mitigation Token</w:t>
      </w:r>
      <w:r w:rsidR="00D574B7">
        <w:rPr>
          <w:lang w:val="en-US"/>
        </w:rPr>
        <w:t xml:space="preserve"> (</w:t>
      </w:r>
      <w:proofErr w:type="gramStart"/>
      <w:r w:rsidR="00C817A3" w:rsidRPr="00C817A3">
        <w:rPr>
          <w:lang w:val="en-US"/>
        </w:rPr>
        <w:t>MITO</w:t>
      </w:r>
      <w:r w:rsidR="00D574B7">
        <w:rPr>
          <w:lang w:val="en-US"/>
        </w:rPr>
        <w:t>)</w:t>
      </w:r>
      <w:r w:rsidR="00C817A3" w:rsidRPr="00C817A3">
        <w:rPr>
          <w:lang w:val="en-US"/>
        </w:rPr>
        <w:t>,</w:t>
      </w:r>
      <w:proofErr w:type="gramEnd"/>
      <w:r w:rsidR="00C817A3" w:rsidRPr="00C817A3">
        <w:rPr>
          <w:lang w:val="en-US"/>
        </w:rPr>
        <w:t xml:space="preserve"> and MITO Market are designed to serve as an exchange unit and exchange for whatever asset-based instruments different programs operate with. MITO holders may evaluate and assign cost to virtues and flaws of different programs and their instruments (units) by means of Mitigation Token. </w:t>
      </w:r>
    </w:p>
    <w:p w14:paraId="5BACCF7A" w14:textId="5D026B3A" w:rsidR="00C817A3" w:rsidRPr="00C817A3" w:rsidRDefault="00C817A3" w:rsidP="00C817A3">
      <w:pPr>
        <w:jc w:val="both"/>
        <w:rPr>
          <w:lang w:val="en-US"/>
        </w:rPr>
      </w:pPr>
      <w:r w:rsidRPr="00C817A3">
        <w:rPr>
          <w:lang w:val="en-US"/>
        </w:rPr>
        <w:lastRenderedPageBreak/>
        <w:t>Furthermore, DAO IPCI architecton</w:t>
      </w:r>
      <w:r w:rsidR="001B1D2C">
        <w:rPr>
          <w:lang w:val="en-US"/>
        </w:rPr>
        <w:t>ics</w:t>
      </w:r>
      <w:r w:rsidRPr="00C817A3">
        <w:rPr>
          <w:lang w:val="en-US"/>
        </w:rPr>
        <w:t xml:space="preserve"> provide for interaction of different systems on the Ethereum blockchain. The modules</w:t>
      </w:r>
      <w:r w:rsidR="00605843">
        <w:rPr>
          <w:lang w:val="en-US"/>
        </w:rPr>
        <w:t>, registries and smart contracts</w:t>
      </w:r>
      <w:r w:rsidRPr="00C817A3">
        <w:rPr>
          <w:lang w:val="en-US"/>
        </w:rPr>
        <w:t xml:space="preserve"> of external blockchain </w:t>
      </w:r>
      <w:r w:rsidR="00605843">
        <w:rPr>
          <w:lang w:val="en-US"/>
        </w:rPr>
        <w:t>platforms</w:t>
      </w:r>
      <w:r w:rsidRPr="00C817A3">
        <w:rPr>
          <w:lang w:val="en-US"/>
        </w:rPr>
        <w:t>, e.g. energy assets</w:t>
      </w:r>
      <w:r w:rsidR="00605843">
        <w:rPr>
          <w:lang w:val="en-US"/>
        </w:rPr>
        <w:t xml:space="preserve"> or financial instruments</w:t>
      </w:r>
      <w:r w:rsidRPr="00C817A3">
        <w:rPr>
          <w:lang w:val="en-US"/>
        </w:rPr>
        <w:t xml:space="preserve">-based, may be included into DAO IPCI, and reflected in the decentralized application, and vice-versa. </w:t>
      </w:r>
    </w:p>
    <w:p w14:paraId="0FA06C8B" w14:textId="35396A98" w:rsidR="00C817A3" w:rsidRPr="00C817A3" w:rsidRDefault="00D574B7" w:rsidP="00C817A3">
      <w:pPr>
        <w:jc w:val="both"/>
        <w:rPr>
          <w:lang w:val="en-US"/>
        </w:rPr>
      </w:pPr>
      <w:r>
        <w:rPr>
          <w:lang w:val="en-US"/>
        </w:rPr>
        <w:t>The purpose of MITO</w:t>
      </w:r>
      <w:r w:rsidR="00605843">
        <w:rPr>
          <w:lang w:val="en-US"/>
        </w:rPr>
        <w:t xml:space="preserve"> and MITO</w:t>
      </w:r>
      <w:r w:rsidR="00362C78">
        <w:rPr>
          <w:lang w:val="en-US"/>
        </w:rPr>
        <w:t xml:space="preserve"> Market</w:t>
      </w:r>
      <w:r w:rsidR="00C817A3" w:rsidRPr="00C817A3">
        <w:rPr>
          <w:lang w:val="en-US"/>
        </w:rPr>
        <w:t xml:space="preserve"> is to provide exchange operations with environmental units issued to the environmental units’ registries by independent entities under the rules and supervision of operators, which accept MITO </w:t>
      </w:r>
      <w:r w:rsidR="00605843">
        <w:rPr>
          <w:lang w:val="en-US"/>
        </w:rPr>
        <w:t>as a universal payment token</w:t>
      </w:r>
      <w:r w:rsidR="00C817A3" w:rsidRPr="00C817A3">
        <w:rPr>
          <w:lang w:val="en-US"/>
        </w:rPr>
        <w:t xml:space="preserve">. </w:t>
      </w:r>
    </w:p>
    <w:p w14:paraId="1870BAAF" w14:textId="5E44A764" w:rsidR="00C817A3" w:rsidRPr="00C817A3" w:rsidRDefault="00C817A3" w:rsidP="00C817A3">
      <w:pPr>
        <w:jc w:val="both"/>
        <w:rPr>
          <w:lang w:val="en-US"/>
        </w:rPr>
      </w:pPr>
      <w:r w:rsidRPr="00C817A3">
        <w:rPr>
          <w:lang w:val="en-US"/>
        </w:rPr>
        <w:t xml:space="preserve">MITO </w:t>
      </w:r>
      <w:proofErr w:type="gramStart"/>
      <w:r w:rsidRPr="00C817A3">
        <w:rPr>
          <w:lang w:val="en-US"/>
        </w:rPr>
        <w:t>is designed</w:t>
      </w:r>
      <w:proofErr w:type="gramEnd"/>
      <w:r w:rsidRPr="00C817A3">
        <w:rPr>
          <w:lang w:val="en-US"/>
        </w:rPr>
        <w:t xml:space="preserve"> for executing DAO IPCI smart contracts, including placing and executing </w:t>
      </w:r>
      <w:r w:rsidR="006512C4">
        <w:rPr>
          <w:lang w:val="en-US"/>
        </w:rPr>
        <w:t>orders to buy</w:t>
      </w:r>
      <w:r w:rsidR="006512C4" w:rsidRPr="00C817A3">
        <w:rPr>
          <w:lang w:val="en-US"/>
        </w:rPr>
        <w:t xml:space="preserve"> </w:t>
      </w:r>
      <w:r w:rsidRPr="00C817A3">
        <w:rPr>
          <w:lang w:val="en-US"/>
        </w:rPr>
        <w:t xml:space="preserve">and </w:t>
      </w:r>
      <w:r w:rsidR="006512C4">
        <w:rPr>
          <w:lang w:val="en-US"/>
        </w:rPr>
        <w:t>sell</w:t>
      </w:r>
      <w:r w:rsidR="006512C4" w:rsidRPr="00C817A3">
        <w:rPr>
          <w:lang w:val="en-US"/>
        </w:rPr>
        <w:t xml:space="preserve"> </w:t>
      </w:r>
      <w:r w:rsidRPr="00C817A3">
        <w:rPr>
          <w:lang w:val="en-US"/>
        </w:rPr>
        <w:t>environmental units, for security deposit contract collateral,</w:t>
      </w:r>
      <w:r w:rsidR="006512C4">
        <w:rPr>
          <w:lang w:val="en-US"/>
        </w:rPr>
        <w:t xml:space="preserve"> and</w:t>
      </w:r>
      <w:r w:rsidRPr="00C817A3">
        <w:rPr>
          <w:lang w:val="en-US"/>
        </w:rPr>
        <w:t xml:space="preserve"> MITO market commission fee</w:t>
      </w:r>
      <w:r w:rsidR="006512C4">
        <w:rPr>
          <w:lang w:val="en-US"/>
        </w:rPr>
        <w:t>s</w:t>
      </w:r>
      <w:r w:rsidRPr="00C817A3">
        <w:rPr>
          <w:lang w:val="en-US"/>
        </w:rPr>
        <w:t>.</w:t>
      </w:r>
    </w:p>
    <w:p w14:paraId="37B6892B" w14:textId="364EFEB6" w:rsidR="00C817A3" w:rsidRPr="00C817A3" w:rsidRDefault="00C817A3" w:rsidP="00C817A3">
      <w:pPr>
        <w:jc w:val="both"/>
        <w:rPr>
          <w:lang w:val="en-US"/>
        </w:rPr>
      </w:pPr>
      <w:r w:rsidRPr="00C817A3">
        <w:rPr>
          <w:lang w:val="en-US"/>
        </w:rPr>
        <w:t xml:space="preserve">MITO </w:t>
      </w:r>
      <w:r w:rsidR="00605843">
        <w:rPr>
          <w:lang w:val="en-US"/>
        </w:rPr>
        <w:t>issuance</w:t>
      </w:r>
      <w:r w:rsidRPr="00C817A3">
        <w:rPr>
          <w:lang w:val="en-US"/>
        </w:rPr>
        <w:t xml:space="preserve"> implies strict adherence to the interests of the MITO holders, issuers of environmental units</w:t>
      </w:r>
      <w:r w:rsidR="006512C4">
        <w:rPr>
          <w:lang w:val="en-US"/>
        </w:rPr>
        <w:t>,</w:t>
      </w:r>
      <w:r w:rsidRPr="00C817A3">
        <w:rPr>
          <w:lang w:val="en-US"/>
        </w:rPr>
        <w:t xml:space="preserve"> and participating environmental programs’ compliers. </w:t>
      </w:r>
    </w:p>
    <w:p w14:paraId="1EC506E9" w14:textId="138BCDC7" w:rsidR="00296982" w:rsidRDefault="00296982" w:rsidP="00C817A3">
      <w:pPr>
        <w:spacing w:after="0" w:line="240" w:lineRule="auto"/>
        <w:jc w:val="both"/>
        <w:rPr>
          <w:rFonts w:ascii="Calibri" w:eastAsia="Calibri" w:hAnsi="Calibri" w:cs="Times New Roman"/>
          <w:lang w:val="en-US"/>
        </w:rPr>
      </w:pPr>
      <w:r>
        <w:rPr>
          <w:rFonts w:ascii="Calibri" w:eastAsia="Calibri" w:hAnsi="Calibri" w:cs="Times New Roman"/>
          <w:lang w:val="en-US"/>
        </w:rPr>
        <w:t xml:space="preserve">In the long term, environmental markets – specifically carbon markets – are poised to expand </w:t>
      </w:r>
      <w:proofErr w:type="gramStart"/>
      <w:r>
        <w:rPr>
          <w:rFonts w:ascii="Calibri" w:eastAsia="Calibri" w:hAnsi="Calibri" w:cs="Times New Roman"/>
          <w:lang w:val="en-US"/>
        </w:rPr>
        <w:t>both in scale and number</w:t>
      </w:r>
      <w:proofErr w:type="gramEnd"/>
      <w:r>
        <w:rPr>
          <w:rFonts w:ascii="Calibri" w:eastAsia="Calibri" w:hAnsi="Calibri" w:cs="Times New Roman"/>
          <w:lang w:val="en-US"/>
        </w:rPr>
        <w:t xml:space="preserve">. It is inevitable that linkage and integration with the intention of creating a common market space with fungible instruments will be necessary. DAO IPCI is a prototype of such a market environment. </w:t>
      </w:r>
    </w:p>
    <w:p w14:paraId="4A9F648D" w14:textId="77777777" w:rsidR="00346640" w:rsidRDefault="00346640" w:rsidP="00C817A3">
      <w:pPr>
        <w:spacing w:after="0" w:line="240" w:lineRule="auto"/>
        <w:jc w:val="both"/>
        <w:rPr>
          <w:rFonts w:ascii="Calibri" w:eastAsia="Calibri" w:hAnsi="Calibri" w:cs="Times New Roman"/>
          <w:lang w:val="en-US"/>
        </w:rPr>
      </w:pPr>
    </w:p>
    <w:p w14:paraId="0C9E47F1" w14:textId="61D8F304" w:rsidR="00346640" w:rsidRPr="00346640" w:rsidRDefault="00346640" w:rsidP="00346640">
      <w:pPr>
        <w:rPr>
          <w:lang w:val="en-US"/>
        </w:rPr>
      </w:pPr>
    </w:p>
    <w:p w14:paraId="10F52A3B" w14:textId="77777777" w:rsidR="00C817A3" w:rsidRDefault="00C817A3">
      <w:pPr>
        <w:rPr>
          <w:rFonts w:eastAsiaTheme="minorEastAsia"/>
          <w:color w:val="5A5A5A" w:themeColor="text1" w:themeTint="A5"/>
          <w:spacing w:val="15"/>
          <w:lang w:val="en-US"/>
        </w:rPr>
      </w:pPr>
      <w:r>
        <w:rPr>
          <w:lang w:val="en-US"/>
        </w:rPr>
        <w:br w:type="page"/>
      </w:r>
    </w:p>
    <w:p w14:paraId="2861D621" w14:textId="77777777" w:rsidR="00FF778A" w:rsidRPr="0029607D" w:rsidRDefault="00FF778A" w:rsidP="0029607D">
      <w:pPr>
        <w:pStyle w:val="1"/>
        <w:rPr>
          <w:lang w:val="en-US"/>
        </w:rPr>
      </w:pPr>
      <w:bookmarkStart w:id="1" w:name="_Toc515607010"/>
      <w:r w:rsidRPr="00FF778A">
        <w:rPr>
          <w:lang w:val="en-US"/>
        </w:rPr>
        <w:lastRenderedPageBreak/>
        <w:t>Definitions</w:t>
      </w:r>
      <w:bookmarkEnd w:id="1"/>
    </w:p>
    <w:p w14:paraId="62CD111E" w14:textId="77777777" w:rsidR="00686A27" w:rsidRDefault="00686A27" w:rsidP="0007307A">
      <w:pPr>
        <w:jc w:val="both"/>
        <w:rPr>
          <w:lang w:val="en-US"/>
        </w:rPr>
      </w:pPr>
    </w:p>
    <w:p w14:paraId="1F8A1F48" w14:textId="46AC92B2" w:rsidR="0007307A" w:rsidRDefault="0007307A" w:rsidP="0007307A">
      <w:pPr>
        <w:jc w:val="both"/>
        <w:rPr>
          <w:lang w:val="en-US"/>
        </w:rPr>
      </w:pPr>
      <w:r>
        <w:rPr>
          <w:lang w:val="en-US"/>
        </w:rPr>
        <w:t xml:space="preserve">“Complier” is an identified user acting in compliance with DAO IPCI rules, and adhering to </w:t>
      </w:r>
      <w:r w:rsidR="00686A27">
        <w:rPr>
          <w:lang w:val="en-US"/>
        </w:rPr>
        <w:t>certain mitigation policy</w:t>
      </w:r>
    </w:p>
    <w:p w14:paraId="36CB5277" w14:textId="186E4AE2" w:rsidR="00BC644A" w:rsidRPr="009504F4" w:rsidRDefault="00BC644A" w:rsidP="0007307A">
      <w:pPr>
        <w:jc w:val="both"/>
        <w:rPr>
          <w:lang w:val="en-US"/>
        </w:rPr>
      </w:pPr>
      <w:r>
        <w:rPr>
          <w:lang w:val="en-US"/>
        </w:rPr>
        <w:t xml:space="preserve">“Collateral Damage” – harm to the third party resulted from economic activity (not used as a military euphemism) </w:t>
      </w:r>
    </w:p>
    <w:p w14:paraId="4C607F69" w14:textId="76EFC310" w:rsidR="00FF778A" w:rsidRDefault="00FF778A" w:rsidP="0007307A">
      <w:pPr>
        <w:jc w:val="both"/>
        <w:rPr>
          <w:lang w:val="en-US"/>
        </w:rPr>
      </w:pPr>
      <w:r w:rsidRPr="00D80221">
        <w:rPr>
          <w:lang w:val="en-US"/>
        </w:rPr>
        <w:t xml:space="preserve">“DAO IPCI” </w:t>
      </w:r>
      <w:r w:rsidR="00FA58A4">
        <w:rPr>
          <w:lang w:val="en-US"/>
        </w:rPr>
        <w:t>is a d</w:t>
      </w:r>
      <w:r w:rsidR="00FA58A4" w:rsidRPr="00FA58A4">
        <w:rPr>
          <w:lang w:val="en-US"/>
        </w:rPr>
        <w:t>ec</w:t>
      </w:r>
      <w:r w:rsidR="00FA58A4">
        <w:rPr>
          <w:lang w:val="en-US"/>
        </w:rPr>
        <w:t>entralized autonomous o</w:t>
      </w:r>
      <w:r w:rsidR="00FA58A4" w:rsidRPr="00FA58A4">
        <w:rPr>
          <w:lang w:val="en-US"/>
        </w:rPr>
        <w:t xml:space="preserve">rganization “Integral Platform for Climate Initiatives”, an independent </w:t>
      </w:r>
      <w:r w:rsidR="00522D3B">
        <w:rPr>
          <w:lang w:val="en-US"/>
        </w:rPr>
        <w:t>programmable</w:t>
      </w:r>
      <w:r w:rsidR="00FA58A4" w:rsidRPr="00FA58A4">
        <w:rPr>
          <w:lang w:val="en-US"/>
        </w:rPr>
        <w:t xml:space="preserve"> blockchain technology-based ecosystem for carbon market</w:t>
      </w:r>
      <w:r w:rsidR="00D03A78">
        <w:rPr>
          <w:lang w:val="en-US"/>
        </w:rPr>
        <w:t>s, mitigation</w:t>
      </w:r>
      <w:r w:rsidR="00FA58A4" w:rsidRPr="00FA58A4">
        <w:rPr>
          <w:lang w:val="en-US"/>
        </w:rPr>
        <w:t xml:space="preserve"> instruments, </w:t>
      </w:r>
      <w:r w:rsidR="00296982">
        <w:rPr>
          <w:lang w:val="en-US"/>
        </w:rPr>
        <w:t>and other</w:t>
      </w:r>
      <w:r w:rsidR="00296982" w:rsidRPr="00FA58A4">
        <w:rPr>
          <w:lang w:val="en-US"/>
        </w:rPr>
        <w:t xml:space="preserve"> </w:t>
      </w:r>
      <w:r w:rsidR="00FA58A4" w:rsidRPr="00FA58A4">
        <w:rPr>
          <w:lang w:val="en-US"/>
        </w:rPr>
        <w:t xml:space="preserve">environmental market assets, rights and liabilities </w:t>
      </w:r>
    </w:p>
    <w:p w14:paraId="1570C290" w14:textId="668F3F9D" w:rsidR="0007307A" w:rsidRPr="0069257F" w:rsidRDefault="0007307A" w:rsidP="0007307A">
      <w:pPr>
        <w:jc w:val="both"/>
        <w:rPr>
          <w:lang w:val="en-US"/>
        </w:rPr>
      </w:pPr>
      <w:r>
        <w:rPr>
          <w:lang w:val="en-US"/>
        </w:rPr>
        <w:t>“E</w:t>
      </w:r>
      <w:r w:rsidRPr="0069257F">
        <w:rPr>
          <w:lang w:val="en-US"/>
        </w:rPr>
        <w:t>nvironmental unit</w:t>
      </w:r>
      <w:r>
        <w:rPr>
          <w:lang w:val="en-US"/>
        </w:rPr>
        <w:t xml:space="preserve">” is a digital unit issued in DAO IPCI representing </w:t>
      </w:r>
      <w:r w:rsidR="00605843">
        <w:rPr>
          <w:lang w:val="en-US"/>
        </w:rPr>
        <w:t>mitigation instruments</w:t>
      </w:r>
      <w:r>
        <w:rPr>
          <w:lang w:val="en-US"/>
        </w:rPr>
        <w:t xml:space="preserve"> achieved and verified in accordance with the rules and requirements of a program</w:t>
      </w:r>
    </w:p>
    <w:p w14:paraId="02E51CD4" w14:textId="3B5274D9" w:rsidR="0007307A" w:rsidRDefault="0007307A" w:rsidP="0007307A">
      <w:pPr>
        <w:jc w:val="both"/>
        <w:rPr>
          <w:lang w:val="en-US"/>
        </w:rPr>
      </w:pPr>
      <w:r>
        <w:rPr>
          <w:lang w:val="en-US"/>
        </w:rPr>
        <w:t xml:space="preserve">“Genesis Operator” is the Operator for </w:t>
      </w:r>
      <w:r w:rsidRPr="00AB65E3">
        <w:rPr>
          <w:lang w:val="en-US"/>
        </w:rPr>
        <w:t xml:space="preserve">“The </w:t>
      </w:r>
      <w:r w:rsidR="00605843">
        <w:rPr>
          <w:lang w:val="en-US"/>
        </w:rPr>
        <w:t>Blockchain</w:t>
      </w:r>
      <w:r w:rsidRPr="00AB65E3">
        <w:rPr>
          <w:lang w:val="en-US"/>
        </w:rPr>
        <w:t xml:space="preserve"> Climate </w:t>
      </w:r>
      <w:r>
        <w:rPr>
          <w:lang w:val="en-US"/>
        </w:rPr>
        <w:t>Standard</w:t>
      </w:r>
      <w:r w:rsidRPr="00AB65E3">
        <w:rPr>
          <w:lang w:val="en-US"/>
        </w:rPr>
        <w:t>”</w:t>
      </w:r>
      <w:r w:rsidR="00605843">
        <w:rPr>
          <w:lang w:val="en-US"/>
        </w:rPr>
        <w:t xml:space="preserve"> (BloCS),</w:t>
      </w:r>
      <w:r>
        <w:rPr>
          <w:lang w:val="en-US"/>
        </w:rPr>
        <w:t xml:space="preserve"> which is</w:t>
      </w:r>
      <w:r w:rsidRPr="00F76AEC">
        <w:rPr>
          <w:lang w:val="en-US"/>
        </w:rPr>
        <w:t xml:space="preserve"> the initial DAO IPCI program (</w:t>
      </w:r>
      <w:r>
        <w:rPr>
          <w:lang w:val="en-US"/>
        </w:rPr>
        <w:t>see “The Programs Operating in DAO IPCI”)</w:t>
      </w:r>
    </w:p>
    <w:p w14:paraId="1C9E8996" w14:textId="182954FF" w:rsidR="0007307A" w:rsidRDefault="0007307A" w:rsidP="0007307A">
      <w:pPr>
        <w:jc w:val="both"/>
        <w:rPr>
          <w:lang w:val="en-US"/>
        </w:rPr>
      </w:pPr>
      <w:r w:rsidRPr="00D80221">
        <w:rPr>
          <w:lang w:val="en-US"/>
        </w:rPr>
        <w:t>“</w:t>
      </w:r>
      <w:r>
        <w:rPr>
          <w:lang w:val="en-US"/>
        </w:rPr>
        <w:t>Independent Entity</w:t>
      </w:r>
      <w:r w:rsidRPr="00D80221">
        <w:rPr>
          <w:lang w:val="en-US"/>
        </w:rPr>
        <w:t xml:space="preserve">” is an </w:t>
      </w:r>
      <w:r w:rsidR="00605843" w:rsidRPr="00D80221">
        <w:rPr>
          <w:lang w:val="en-US"/>
        </w:rPr>
        <w:t>autono</w:t>
      </w:r>
      <w:r w:rsidR="00605843">
        <w:rPr>
          <w:lang w:val="en-US"/>
        </w:rPr>
        <w:t>mous</w:t>
      </w:r>
      <w:r>
        <w:rPr>
          <w:lang w:val="en-US"/>
        </w:rPr>
        <w:t xml:space="preserve"> entity accredited and </w:t>
      </w:r>
      <w:r w:rsidRPr="00D80221">
        <w:rPr>
          <w:lang w:val="en-US"/>
        </w:rPr>
        <w:t xml:space="preserve">authorized </w:t>
      </w:r>
      <w:r>
        <w:rPr>
          <w:lang w:val="en-US"/>
        </w:rPr>
        <w:t>by the o</w:t>
      </w:r>
      <w:r w:rsidRPr="00D80221">
        <w:rPr>
          <w:lang w:val="en-US"/>
        </w:rPr>
        <w:t xml:space="preserve">perator to assess and </w:t>
      </w:r>
      <w:r>
        <w:rPr>
          <w:lang w:val="en-US"/>
        </w:rPr>
        <w:t>verify</w:t>
      </w:r>
      <w:r w:rsidRPr="006A1871">
        <w:rPr>
          <w:lang w:val="en-US"/>
        </w:rPr>
        <w:t xml:space="preserve"> </w:t>
      </w:r>
      <w:r w:rsidRPr="00D80221">
        <w:rPr>
          <w:lang w:val="en-US"/>
        </w:rPr>
        <w:t xml:space="preserve">mitigation </w:t>
      </w:r>
      <w:r w:rsidR="00522D3B">
        <w:rPr>
          <w:lang w:val="en-US"/>
        </w:rPr>
        <w:t>instruments</w:t>
      </w:r>
      <w:r>
        <w:rPr>
          <w:lang w:val="en-US"/>
        </w:rPr>
        <w:t>, quantified impact, quantified commitments according to the standards, methodologies, program</w:t>
      </w:r>
      <w:r w:rsidRPr="006A1871">
        <w:rPr>
          <w:lang w:val="en-US"/>
        </w:rPr>
        <w:t xml:space="preserve"> </w:t>
      </w:r>
      <w:r w:rsidRPr="00D80221">
        <w:rPr>
          <w:lang w:val="en-US"/>
        </w:rPr>
        <w:t xml:space="preserve">rules and requirements as underlying for the </w:t>
      </w:r>
      <w:r>
        <w:rPr>
          <w:lang w:val="en-US"/>
        </w:rPr>
        <w:t>environmental</w:t>
      </w:r>
      <w:r w:rsidRPr="00D80221">
        <w:rPr>
          <w:lang w:val="en-US"/>
        </w:rPr>
        <w:t xml:space="preserve"> units issued in DAO IPCI, and to </w:t>
      </w:r>
      <w:r>
        <w:rPr>
          <w:lang w:val="en-US"/>
        </w:rPr>
        <w:t>support</w:t>
      </w:r>
      <w:r w:rsidRPr="00D80221">
        <w:rPr>
          <w:lang w:val="en-US"/>
        </w:rPr>
        <w:t xml:space="preserve"> preclusion of double spending</w:t>
      </w:r>
    </w:p>
    <w:p w14:paraId="327B2CCF" w14:textId="35CE1D29" w:rsidR="000875DA" w:rsidRDefault="0007307A" w:rsidP="0007307A">
      <w:pPr>
        <w:jc w:val="both"/>
        <w:rPr>
          <w:lang w:val="en-US"/>
        </w:rPr>
      </w:pPr>
      <w:r w:rsidRPr="00765F18">
        <w:rPr>
          <w:lang w:val="en-US"/>
        </w:rPr>
        <w:t xml:space="preserve">“Internal Token” </w:t>
      </w:r>
      <w:r w:rsidRPr="0020243F">
        <w:rPr>
          <w:lang w:val="en-US"/>
        </w:rPr>
        <w:t xml:space="preserve">(Mitigation Token, MITO) is a </w:t>
      </w:r>
      <w:r w:rsidR="00605843">
        <w:rPr>
          <w:lang w:val="en-US"/>
        </w:rPr>
        <w:t>payment token</w:t>
      </w:r>
      <w:r w:rsidRPr="0020243F">
        <w:rPr>
          <w:lang w:val="en-US"/>
        </w:rPr>
        <w:t xml:space="preserve"> to</w:t>
      </w:r>
      <w:r>
        <w:rPr>
          <w:lang w:val="en-US"/>
        </w:rPr>
        <w:t xml:space="preserve"> </w:t>
      </w:r>
      <w:r w:rsidRPr="0020243F">
        <w:rPr>
          <w:lang w:val="en-US"/>
        </w:rPr>
        <w:t>reflect transactions, transfer of rights and commitments in DAO IPCI.</w:t>
      </w:r>
      <w:r w:rsidR="00522D3B">
        <w:rPr>
          <w:lang w:val="en-US"/>
        </w:rPr>
        <w:t xml:space="preserve"> </w:t>
      </w:r>
      <w:r>
        <w:rPr>
          <w:lang w:val="en-US"/>
        </w:rPr>
        <w:t>The s</w:t>
      </w:r>
      <w:r w:rsidRPr="0020243F">
        <w:rPr>
          <w:lang w:val="en-US"/>
        </w:rPr>
        <w:t xml:space="preserve">ole purpose </w:t>
      </w:r>
      <w:r>
        <w:rPr>
          <w:lang w:val="en-US"/>
        </w:rPr>
        <w:t xml:space="preserve">of the MITO </w:t>
      </w:r>
      <w:r w:rsidRPr="0020243F">
        <w:rPr>
          <w:lang w:val="en-US"/>
        </w:rPr>
        <w:t xml:space="preserve">is to provide market exchange operations with environmental units issued to </w:t>
      </w:r>
      <w:r>
        <w:rPr>
          <w:lang w:val="en-US"/>
        </w:rPr>
        <w:t xml:space="preserve">their </w:t>
      </w:r>
      <w:r w:rsidRPr="0020243F">
        <w:rPr>
          <w:lang w:val="en-US"/>
        </w:rPr>
        <w:t xml:space="preserve">registries by </w:t>
      </w:r>
      <w:r>
        <w:rPr>
          <w:lang w:val="en-US"/>
        </w:rPr>
        <w:t>i</w:t>
      </w:r>
      <w:r w:rsidRPr="0020243F">
        <w:rPr>
          <w:lang w:val="en-US"/>
        </w:rPr>
        <w:t xml:space="preserve">ndependent entities under the supervision of the </w:t>
      </w:r>
      <w:r>
        <w:rPr>
          <w:lang w:val="en-US"/>
        </w:rPr>
        <w:t>o</w:t>
      </w:r>
      <w:r w:rsidRPr="0020243F">
        <w:rPr>
          <w:lang w:val="en-US"/>
        </w:rPr>
        <w:t>perators</w:t>
      </w:r>
      <w:r>
        <w:rPr>
          <w:lang w:val="en-US"/>
        </w:rPr>
        <w:t xml:space="preserve"> </w:t>
      </w:r>
    </w:p>
    <w:p w14:paraId="3612844B" w14:textId="3F418303" w:rsidR="0007307A" w:rsidRPr="00D13515" w:rsidRDefault="0007307A" w:rsidP="0007307A">
      <w:pPr>
        <w:jc w:val="both"/>
        <w:rPr>
          <w:lang w:val="en-US"/>
        </w:rPr>
      </w:pPr>
      <w:r w:rsidRPr="00D226CF">
        <w:rPr>
          <w:lang w:val="en-US"/>
        </w:rPr>
        <w:t xml:space="preserve">“Issuer” is an original owner of mitigation </w:t>
      </w:r>
      <w:r w:rsidR="000875DA">
        <w:rPr>
          <w:lang w:val="en-US"/>
        </w:rPr>
        <w:t>instruments,</w:t>
      </w:r>
      <w:r w:rsidRPr="00D226CF">
        <w:rPr>
          <w:lang w:val="en-US"/>
        </w:rPr>
        <w:t xml:space="preserve"> who initiates the procedure to issue environmental units in DAO IPCI by creating environmental registries</w:t>
      </w:r>
      <w:r>
        <w:rPr>
          <w:lang w:val="en-US"/>
        </w:rPr>
        <w:t xml:space="preserve"> and </w:t>
      </w:r>
      <w:r w:rsidRPr="00D226CF">
        <w:rPr>
          <w:lang w:val="en-US"/>
        </w:rPr>
        <w:t>security reserve or security deposit contracts</w:t>
      </w:r>
    </w:p>
    <w:p w14:paraId="24911CA7" w14:textId="0444843D" w:rsidR="0007307A" w:rsidRPr="00D80221" w:rsidRDefault="0007307A" w:rsidP="0007307A">
      <w:pPr>
        <w:jc w:val="both"/>
        <w:rPr>
          <w:lang w:val="en-US"/>
        </w:rPr>
      </w:pPr>
      <w:r w:rsidRPr="00D80221">
        <w:rPr>
          <w:lang w:val="en-US"/>
        </w:rPr>
        <w:t xml:space="preserve">“Issuance limit” is </w:t>
      </w:r>
      <w:r>
        <w:rPr>
          <w:lang w:val="en-US"/>
        </w:rPr>
        <w:t>the</w:t>
      </w:r>
      <w:r w:rsidRPr="00D80221">
        <w:rPr>
          <w:lang w:val="en-US"/>
        </w:rPr>
        <w:t xml:space="preserve"> maximum number of digital units </w:t>
      </w:r>
      <w:r>
        <w:rPr>
          <w:lang w:val="en-US"/>
        </w:rPr>
        <w:t>set</w:t>
      </w:r>
      <w:r w:rsidR="000875DA">
        <w:rPr>
          <w:lang w:val="en-US"/>
        </w:rPr>
        <w:t xml:space="preserve"> by the Operator based on Independent Entity conclusions </w:t>
      </w:r>
      <w:r w:rsidRPr="00D80221">
        <w:rPr>
          <w:lang w:val="en-US"/>
        </w:rPr>
        <w:t xml:space="preserve">to </w:t>
      </w:r>
      <w:proofErr w:type="gramStart"/>
      <w:r w:rsidRPr="00D80221">
        <w:rPr>
          <w:lang w:val="en-US"/>
        </w:rPr>
        <w:t>be issued</w:t>
      </w:r>
      <w:proofErr w:type="gramEnd"/>
      <w:r w:rsidRPr="00D80221">
        <w:rPr>
          <w:lang w:val="en-US"/>
        </w:rPr>
        <w:t xml:space="preserve"> to </w:t>
      </w:r>
      <w:r w:rsidR="000875DA">
        <w:rPr>
          <w:lang w:val="en-US"/>
        </w:rPr>
        <w:t>specific</w:t>
      </w:r>
      <w:r>
        <w:rPr>
          <w:lang w:val="en-US"/>
        </w:rPr>
        <w:t xml:space="preserve"> </w:t>
      </w:r>
      <w:r w:rsidRPr="00D80221">
        <w:rPr>
          <w:lang w:val="en-US"/>
        </w:rPr>
        <w:t>registries</w:t>
      </w:r>
    </w:p>
    <w:p w14:paraId="240489F3" w14:textId="3AB0A8BD" w:rsidR="000875DA" w:rsidRPr="00D05F64" w:rsidRDefault="00D15B29" w:rsidP="000875DA">
      <w:pPr>
        <w:jc w:val="both"/>
        <w:rPr>
          <w:lang w:val="en-US"/>
        </w:rPr>
      </w:pPr>
      <w:r>
        <w:rPr>
          <w:lang w:val="en-US"/>
        </w:rPr>
        <w:t>“Mitigation” is</w:t>
      </w:r>
      <w:r w:rsidR="000875DA">
        <w:rPr>
          <w:lang w:val="en-US"/>
        </w:rPr>
        <w:t xml:space="preserve"> reduction of negative externalities caused by economic activities, for example, reduction of GHG emissions</w:t>
      </w:r>
    </w:p>
    <w:p w14:paraId="71B0636D" w14:textId="28169CA4" w:rsidR="0007307A" w:rsidRPr="005F288E" w:rsidRDefault="000875DA" w:rsidP="000875DA">
      <w:pPr>
        <w:jc w:val="both"/>
        <w:rPr>
          <w:lang w:val="en-US"/>
        </w:rPr>
      </w:pPr>
      <w:r>
        <w:rPr>
          <w:lang w:val="en-US"/>
        </w:rPr>
        <w:t xml:space="preserve"> </w:t>
      </w:r>
      <w:r w:rsidR="0007307A">
        <w:rPr>
          <w:lang w:val="en-US"/>
        </w:rPr>
        <w:t xml:space="preserve">“MITO Policy” is a principle agreement of the </w:t>
      </w:r>
      <w:r w:rsidR="00D15B29">
        <w:rPr>
          <w:lang w:val="en-US"/>
        </w:rPr>
        <w:t>DAO O</w:t>
      </w:r>
      <w:r w:rsidR="0007307A">
        <w:rPr>
          <w:lang w:val="en-US"/>
        </w:rPr>
        <w:t>perators to share a common MITO</w:t>
      </w:r>
      <w:r w:rsidR="0007307A" w:rsidRPr="005F288E">
        <w:rPr>
          <w:lang w:val="en-US"/>
        </w:rPr>
        <w:t>-based market</w:t>
      </w:r>
      <w:r w:rsidR="0007307A">
        <w:rPr>
          <w:lang w:val="en-US"/>
        </w:rPr>
        <w:t>, to cap emissions</w:t>
      </w:r>
      <w:r w:rsidR="0007307A" w:rsidRPr="005F288E">
        <w:rPr>
          <w:lang w:val="en-US"/>
        </w:rPr>
        <w:t xml:space="preserve"> and</w:t>
      </w:r>
      <w:r w:rsidR="0007307A">
        <w:rPr>
          <w:lang w:val="en-US"/>
        </w:rPr>
        <w:t xml:space="preserve"> to</w:t>
      </w:r>
      <w:r w:rsidR="0007307A" w:rsidRPr="005F288E">
        <w:rPr>
          <w:lang w:val="en-US"/>
        </w:rPr>
        <w:t xml:space="preserve"> abstain from </w:t>
      </w:r>
      <w:r w:rsidR="003358A8">
        <w:rPr>
          <w:lang w:val="en-US"/>
        </w:rPr>
        <w:t xml:space="preserve">issuance </w:t>
      </w:r>
      <w:r>
        <w:rPr>
          <w:lang w:val="en-US"/>
        </w:rPr>
        <w:t xml:space="preserve">of </w:t>
      </w:r>
      <w:r w:rsidRPr="005F288E">
        <w:rPr>
          <w:lang w:val="en-US"/>
        </w:rPr>
        <w:t>alternative</w:t>
      </w:r>
      <w:r w:rsidR="0007307A" w:rsidRPr="005F288E">
        <w:rPr>
          <w:lang w:val="en-US"/>
        </w:rPr>
        <w:t xml:space="preserve"> digital currenc</w:t>
      </w:r>
      <w:r w:rsidR="0007307A">
        <w:rPr>
          <w:lang w:val="en-US"/>
        </w:rPr>
        <w:t>ies</w:t>
      </w:r>
    </w:p>
    <w:p w14:paraId="3C717778" w14:textId="1C3812A3" w:rsidR="0007307A" w:rsidRPr="007016F6" w:rsidRDefault="0007307A" w:rsidP="0007307A">
      <w:pPr>
        <w:jc w:val="both"/>
        <w:rPr>
          <w:lang w:val="en-US"/>
        </w:rPr>
      </w:pPr>
      <w:r>
        <w:rPr>
          <w:lang w:val="en-US"/>
        </w:rPr>
        <w:t>“MITO Pool of DAOs” is a pool of operators and participants of decentralized autonomous organizations</w:t>
      </w:r>
      <w:r w:rsidRPr="00A14517">
        <w:rPr>
          <w:lang w:val="en-US"/>
        </w:rPr>
        <w:t xml:space="preserve"> </w:t>
      </w:r>
      <w:r>
        <w:rPr>
          <w:lang w:val="en-US"/>
        </w:rPr>
        <w:t xml:space="preserve">within the DAO IPCI ecosystem that share a common MITO-based market and adhere to its policies, and that abstain from </w:t>
      </w:r>
      <w:r w:rsidR="000875DA">
        <w:rPr>
          <w:lang w:val="en-US"/>
        </w:rPr>
        <w:t>issuance</w:t>
      </w:r>
      <w:r>
        <w:rPr>
          <w:lang w:val="en-US"/>
        </w:rPr>
        <w:t xml:space="preserve"> of alternative digital currencies</w:t>
      </w:r>
    </w:p>
    <w:p w14:paraId="52B0C4EC" w14:textId="7871EBF2" w:rsidR="0007307A" w:rsidRDefault="0007307A" w:rsidP="0007307A">
      <w:pPr>
        <w:jc w:val="both"/>
        <w:rPr>
          <w:lang w:val="en-US"/>
        </w:rPr>
      </w:pPr>
      <w:r w:rsidRPr="006A2604">
        <w:rPr>
          <w:lang w:val="en-US"/>
        </w:rPr>
        <w:t xml:space="preserve">“Operator” is a person authorized by </w:t>
      </w:r>
      <w:r>
        <w:rPr>
          <w:lang w:val="en-US"/>
        </w:rPr>
        <w:t xml:space="preserve">a </w:t>
      </w:r>
      <w:r w:rsidRPr="006A2604">
        <w:rPr>
          <w:lang w:val="en-US"/>
        </w:rPr>
        <w:t>program to supervise compliance with the rules and require</w:t>
      </w:r>
      <w:r w:rsidR="00D15B29">
        <w:rPr>
          <w:lang w:val="en-US"/>
        </w:rPr>
        <w:t>ments of the P</w:t>
      </w:r>
      <w:r w:rsidRPr="006A2604">
        <w:rPr>
          <w:lang w:val="en-US"/>
        </w:rPr>
        <w:t>rogram</w:t>
      </w:r>
      <w:r w:rsidR="00D15B29">
        <w:rPr>
          <w:lang w:val="en-US"/>
        </w:rPr>
        <w:t xml:space="preserve"> (DAO)</w:t>
      </w:r>
      <w:r w:rsidRPr="006A2604">
        <w:rPr>
          <w:lang w:val="en-US"/>
        </w:rPr>
        <w:t xml:space="preserve"> in DAO IPCI</w:t>
      </w:r>
      <w:r>
        <w:rPr>
          <w:lang w:val="en-US"/>
        </w:rPr>
        <w:t>,</w:t>
      </w:r>
      <w:r w:rsidRPr="006A2604">
        <w:rPr>
          <w:lang w:val="en-US"/>
        </w:rPr>
        <w:t xml:space="preserve"> to list independent entities</w:t>
      </w:r>
      <w:r>
        <w:rPr>
          <w:lang w:val="en-US"/>
        </w:rPr>
        <w:t xml:space="preserve">, and </w:t>
      </w:r>
      <w:r w:rsidRPr="006A2604">
        <w:rPr>
          <w:lang w:val="en-US"/>
        </w:rPr>
        <w:t>to approve environmental registries, security reserve and security deposit contracts,</w:t>
      </w:r>
      <w:r>
        <w:rPr>
          <w:lang w:val="en-US"/>
        </w:rPr>
        <w:t xml:space="preserve"> and </w:t>
      </w:r>
      <w:r w:rsidRPr="006A2604">
        <w:rPr>
          <w:lang w:val="en-US"/>
        </w:rPr>
        <w:t xml:space="preserve">issuance limits for environmental units, </w:t>
      </w:r>
      <w:r>
        <w:rPr>
          <w:lang w:val="en-US"/>
        </w:rPr>
        <w:t xml:space="preserve">as well as </w:t>
      </w:r>
      <w:r w:rsidRPr="006A2604">
        <w:rPr>
          <w:lang w:val="en-US"/>
        </w:rPr>
        <w:t>their validity period</w:t>
      </w:r>
      <w:r>
        <w:rPr>
          <w:lang w:val="en-US"/>
        </w:rPr>
        <w:t>s</w:t>
      </w:r>
      <w:r w:rsidRPr="006A2604">
        <w:rPr>
          <w:lang w:val="en-US"/>
        </w:rPr>
        <w:t xml:space="preserve">, security reservation </w:t>
      </w:r>
      <w:r w:rsidR="000875DA">
        <w:rPr>
          <w:lang w:val="en-US"/>
        </w:rPr>
        <w:t>and security deposit parameters</w:t>
      </w:r>
    </w:p>
    <w:p w14:paraId="2D04CDAA" w14:textId="48CB5280" w:rsidR="000E755A" w:rsidRDefault="000E755A" w:rsidP="0007307A">
      <w:pPr>
        <w:jc w:val="both"/>
        <w:rPr>
          <w:lang w:val="en-US"/>
        </w:rPr>
      </w:pPr>
      <w:r w:rsidRPr="00D05F64">
        <w:rPr>
          <w:lang w:val="en-US"/>
        </w:rPr>
        <w:t>“</w:t>
      </w:r>
      <w:r>
        <w:rPr>
          <w:lang w:val="en-US"/>
        </w:rPr>
        <w:t>Program</w:t>
      </w:r>
      <w:r w:rsidR="0043510A" w:rsidRPr="00D05F64">
        <w:rPr>
          <w:lang w:val="en-US"/>
        </w:rPr>
        <w:t>” is</w:t>
      </w:r>
      <w:r w:rsidRPr="00D05F64">
        <w:rPr>
          <w:lang w:val="en-US"/>
        </w:rPr>
        <w:t xml:space="preserve"> </w:t>
      </w:r>
      <w:r>
        <w:rPr>
          <w:lang w:val="en-US"/>
        </w:rPr>
        <w:t>a</w:t>
      </w:r>
      <w:r w:rsidRPr="00D05F64">
        <w:rPr>
          <w:lang w:val="en-US"/>
        </w:rPr>
        <w:t xml:space="preserve"> </w:t>
      </w:r>
      <w:r>
        <w:rPr>
          <w:lang w:val="en-US"/>
        </w:rPr>
        <w:t>market</w:t>
      </w:r>
      <w:r w:rsidRPr="00D05F64">
        <w:rPr>
          <w:lang w:val="en-US"/>
        </w:rPr>
        <w:t>-</w:t>
      </w:r>
      <w:r>
        <w:rPr>
          <w:lang w:val="en-US"/>
        </w:rPr>
        <w:t>based</w:t>
      </w:r>
      <w:r w:rsidRPr="00D05F64">
        <w:rPr>
          <w:lang w:val="en-US"/>
        </w:rPr>
        <w:t xml:space="preserve"> </w:t>
      </w:r>
      <w:r w:rsidR="00D05F64">
        <w:rPr>
          <w:lang w:val="en-US"/>
        </w:rPr>
        <w:t>climate change, environmental and other societal cost mitigation program operating in DAO IPCI</w:t>
      </w:r>
      <w:r w:rsidR="00D15B29">
        <w:rPr>
          <w:lang w:val="en-US"/>
        </w:rPr>
        <w:t xml:space="preserve"> in the form of a Decentralized Autonomous Organization (DAO)</w:t>
      </w:r>
      <w:r w:rsidR="000875DA">
        <w:rPr>
          <w:lang w:val="en-US"/>
        </w:rPr>
        <w:t xml:space="preserve"> </w:t>
      </w:r>
      <w:r w:rsidRPr="00D05F64">
        <w:rPr>
          <w:lang w:val="en-US"/>
        </w:rPr>
        <w:t xml:space="preserve"> </w:t>
      </w:r>
    </w:p>
    <w:p w14:paraId="0B513AAB" w14:textId="213E64DE" w:rsidR="0007307A" w:rsidRPr="0007307A" w:rsidRDefault="00FF778A" w:rsidP="0007307A">
      <w:pPr>
        <w:rPr>
          <w:lang w:val="en-US"/>
        </w:rPr>
      </w:pPr>
      <w:r w:rsidRPr="00D80221">
        <w:rPr>
          <w:lang w:val="en-US"/>
        </w:rPr>
        <w:lastRenderedPageBreak/>
        <w:t xml:space="preserve">“Smart contract” is </w:t>
      </w:r>
      <w:r w:rsidR="0007307A">
        <w:rPr>
          <w:bCs/>
          <w:lang w:val="en-US"/>
        </w:rPr>
        <w:t>DAO IPCI c</w:t>
      </w:r>
      <w:r w:rsidR="0007307A" w:rsidRPr="0007307A">
        <w:rPr>
          <w:bCs/>
          <w:lang w:val="en-US"/>
        </w:rPr>
        <w:t>ontract accounts controlled by the internal code of the contract</w:t>
      </w:r>
      <w:r w:rsidR="0007307A">
        <w:rPr>
          <w:bCs/>
          <w:lang w:val="en-US"/>
        </w:rPr>
        <w:t>,</w:t>
      </w:r>
      <w:r w:rsidR="0007307A" w:rsidRPr="00D80221">
        <w:rPr>
          <w:lang w:val="en-US"/>
        </w:rPr>
        <w:t xml:space="preserve"> </w:t>
      </w:r>
      <w:r w:rsidRPr="00D80221">
        <w:rPr>
          <w:lang w:val="en-US"/>
        </w:rPr>
        <w:t>a partially or fully self-executing protocol that facilitates, verifies, or enforces the negotiation or performance of a contract</w:t>
      </w:r>
      <w:r>
        <w:rPr>
          <w:lang w:val="en-US"/>
        </w:rPr>
        <w:t>.</w:t>
      </w:r>
      <w:r w:rsidR="0007307A">
        <w:rPr>
          <w:lang w:val="en-US"/>
        </w:rPr>
        <w:t xml:space="preserve"> </w:t>
      </w:r>
      <w:r w:rsidR="0007307A" w:rsidRPr="0007307A">
        <w:rPr>
          <w:rFonts w:eastAsiaTheme="minorEastAsia" w:hAnsi="Calibri"/>
          <w:b/>
          <w:bCs/>
          <w:color w:val="1F497D"/>
          <w:kern w:val="24"/>
          <w:sz w:val="28"/>
          <w:szCs w:val="28"/>
          <w:lang w:val="en-US"/>
        </w:rPr>
        <w:t xml:space="preserve"> </w:t>
      </w:r>
    </w:p>
    <w:p w14:paraId="571EC3AB" w14:textId="08760B53" w:rsidR="00543073" w:rsidRDefault="00543073">
      <w:pPr>
        <w:rPr>
          <w:rFonts w:eastAsiaTheme="minorEastAsia"/>
          <w:color w:val="5A5A5A" w:themeColor="text1" w:themeTint="A5"/>
          <w:spacing w:val="15"/>
          <w:lang w:val="en-US"/>
        </w:rPr>
      </w:pPr>
      <w:r>
        <w:rPr>
          <w:rFonts w:eastAsiaTheme="minorEastAsia"/>
          <w:color w:val="5A5A5A" w:themeColor="text1" w:themeTint="A5"/>
          <w:spacing w:val="15"/>
          <w:lang w:val="en-US"/>
        </w:rPr>
        <w:br w:type="page"/>
      </w:r>
    </w:p>
    <w:p w14:paraId="52455814" w14:textId="0B227570" w:rsidR="00AB65E3" w:rsidRPr="0029607D" w:rsidRDefault="00530B9E" w:rsidP="0029607D">
      <w:pPr>
        <w:pStyle w:val="1"/>
        <w:rPr>
          <w:lang w:val="en-US"/>
        </w:rPr>
      </w:pPr>
      <w:bookmarkStart w:id="2" w:name="_Toc515607011"/>
      <w:r>
        <w:rPr>
          <w:lang w:val="en-US"/>
        </w:rPr>
        <w:lastRenderedPageBreak/>
        <w:t>Introduction</w:t>
      </w:r>
      <w:bookmarkEnd w:id="2"/>
    </w:p>
    <w:p w14:paraId="17E12FEE" w14:textId="77777777" w:rsidR="002B6652" w:rsidRPr="002B6652" w:rsidRDefault="002B6652" w:rsidP="002B6652">
      <w:pPr>
        <w:jc w:val="both"/>
        <w:rPr>
          <w:lang w:val="en-US"/>
        </w:rPr>
      </w:pPr>
      <w:r w:rsidRPr="002B6652">
        <w:rPr>
          <w:lang w:val="en-US"/>
        </w:rPr>
        <w:t xml:space="preserve">It is quite common for the people stumbling upon complicated issues to set hopes on a central authority to resolve them rather than proposing an algorithm for the individuals to preserve their fundamental right to economic choice and settle problems on decentralized peer-to-peer basis. </w:t>
      </w:r>
    </w:p>
    <w:p w14:paraId="34F86A32" w14:textId="7788DB5D" w:rsidR="002B6652" w:rsidRDefault="002B6652" w:rsidP="002B6652">
      <w:pPr>
        <w:jc w:val="both"/>
        <w:rPr>
          <w:lang w:val="en-US"/>
        </w:rPr>
      </w:pPr>
      <w:r w:rsidRPr="002B6652">
        <w:rPr>
          <w:lang w:val="en-US"/>
        </w:rPr>
        <w:t xml:space="preserve">The complicated problem of social costs, of negative externalities, collateral damages, especially related to environmental issues, remains in the focus of economic science for over 100 years and has become critically important in relation to climate change in particular. </w:t>
      </w:r>
      <w:r w:rsidR="008A338F">
        <w:rPr>
          <w:lang w:val="en-US"/>
        </w:rPr>
        <w:t>Arthur Pigou</w:t>
      </w:r>
      <w:r w:rsidR="00371C4A">
        <w:rPr>
          <w:lang w:val="en-US"/>
        </w:rPr>
        <w:t>,</w:t>
      </w:r>
      <w:r w:rsidR="008A338F" w:rsidRPr="008A338F">
        <w:rPr>
          <w:lang w:val="en-US"/>
        </w:rPr>
        <w:t xml:space="preserve"> </w:t>
      </w:r>
      <w:r w:rsidR="00371C4A" w:rsidRPr="00371C4A">
        <w:rPr>
          <w:lang w:val="en-US"/>
        </w:rPr>
        <w:t>an English economist</w:t>
      </w:r>
      <w:r w:rsidR="00371C4A">
        <w:rPr>
          <w:lang w:val="en-US"/>
        </w:rPr>
        <w:t>,</w:t>
      </w:r>
      <w:r w:rsidR="00371C4A" w:rsidRPr="00371C4A">
        <w:rPr>
          <w:lang w:val="en-US"/>
        </w:rPr>
        <w:t xml:space="preserve"> 1877 – 1959</w:t>
      </w:r>
      <w:r w:rsidR="00371C4A">
        <w:rPr>
          <w:lang w:val="en-US"/>
        </w:rPr>
        <w:t>,</w:t>
      </w:r>
      <w:r w:rsidR="00371C4A" w:rsidRPr="00371C4A">
        <w:rPr>
          <w:lang w:val="en-US"/>
        </w:rPr>
        <w:t xml:space="preserve"> </w:t>
      </w:r>
      <w:r w:rsidR="008A338F" w:rsidRPr="008A338F">
        <w:rPr>
          <w:lang w:val="en-US"/>
        </w:rPr>
        <w:t xml:space="preserve">introduced the concept of externality and the idea that </w:t>
      </w:r>
      <w:r w:rsidR="008A338F">
        <w:rPr>
          <w:lang w:val="en-US"/>
        </w:rPr>
        <w:t xml:space="preserve">societal costs, negative </w:t>
      </w:r>
      <w:r w:rsidR="008A338F" w:rsidRPr="008A338F">
        <w:rPr>
          <w:lang w:val="en-US"/>
        </w:rPr>
        <w:t xml:space="preserve">externality problems </w:t>
      </w:r>
      <w:proofErr w:type="gramStart"/>
      <w:r w:rsidR="008A338F" w:rsidRPr="008A338F">
        <w:rPr>
          <w:lang w:val="en-US"/>
        </w:rPr>
        <w:t>could be corrected</w:t>
      </w:r>
      <w:proofErr w:type="gramEnd"/>
      <w:r w:rsidR="008A338F" w:rsidRPr="008A338F">
        <w:rPr>
          <w:lang w:val="en-US"/>
        </w:rPr>
        <w:t xml:space="preserve"> by the </w:t>
      </w:r>
      <w:r w:rsidR="008A338F">
        <w:rPr>
          <w:lang w:val="en-US"/>
        </w:rPr>
        <w:t xml:space="preserve">government </w:t>
      </w:r>
      <w:r w:rsidR="008A338F" w:rsidRPr="008A338F">
        <w:rPr>
          <w:lang w:val="en-US"/>
        </w:rPr>
        <w:t xml:space="preserve">imposition of a </w:t>
      </w:r>
      <w:proofErr w:type="spellStart"/>
      <w:r w:rsidR="008A338F" w:rsidRPr="008A338F">
        <w:rPr>
          <w:lang w:val="en-US"/>
        </w:rPr>
        <w:t>Pigovian</w:t>
      </w:r>
      <w:proofErr w:type="spellEnd"/>
      <w:r w:rsidR="008A338F" w:rsidRPr="008A338F">
        <w:rPr>
          <w:lang w:val="en-US"/>
        </w:rPr>
        <w:t xml:space="preserve"> tax. </w:t>
      </w:r>
      <w:r w:rsidR="008A338F">
        <w:rPr>
          <w:lang w:val="en-US"/>
        </w:rPr>
        <w:t xml:space="preserve">While </w:t>
      </w:r>
      <w:proofErr w:type="spellStart"/>
      <w:r w:rsidR="008A338F">
        <w:rPr>
          <w:lang w:val="en-US"/>
        </w:rPr>
        <w:t>Pigo</w:t>
      </w:r>
      <w:r w:rsidRPr="002B6652">
        <w:rPr>
          <w:lang w:val="en-US"/>
        </w:rPr>
        <w:t>vian</w:t>
      </w:r>
      <w:proofErr w:type="spellEnd"/>
      <w:r w:rsidRPr="002B6652">
        <w:rPr>
          <w:lang w:val="en-US"/>
        </w:rPr>
        <w:t xml:space="preserve"> approach remains dominant, advance of economic</w:t>
      </w:r>
      <w:r w:rsidR="0005776F">
        <w:rPr>
          <w:lang w:val="en-US"/>
        </w:rPr>
        <w:t xml:space="preserve"> sciences</w:t>
      </w:r>
      <w:r w:rsidRPr="002B6652">
        <w:rPr>
          <w:lang w:val="en-US"/>
        </w:rPr>
        <w:t xml:space="preserve"> and </w:t>
      </w:r>
      <w:r w:rsidR="0005776F">
        <w:rPr>
          <w:lang w:val="en-US"/>
        </w:rPr>
        <w:t xml:space="preserve">IT </w:t>
      </w:r>
      <w:r w:rsidRPr="002B6652">
        <w:rPr>
          <w:lang w:val="en-US"/>
        </w:rPr>
        <w:t xml:space="preserve">technologies allow for implementation of the model based on delimitation of property rights, on values and choices of free individuals. </w:t>
      </w:r>
      <w:proofErr w:type="gramStart"/>
      <w:r w:rsidRPr="002B6652">
        <w:rPr>
          <w:lang w:val="en-US"/>
        </w:rPr>
        <w:t>Ludwig von Mises, 1881 – 1973, the brightest mind of the Austrian School of Econom</w:t>
      </w:r>
      <w:r w:rsidR="0005776F">
        <w:rPr>
          <w:lang w:val="en-US"/>
        </w:rPr>
        <w:t>ics</w:t>
      </w:r>
      <w:r w:rsidRPr="002B6652">
        <w:rPr>
          <w:lang w:val="en-US"/>
        </w:rPr>
        <w:t>, precisely defined the core problem: “Carried through consistently, the right of property would entitle the proprietor to claim all the advantages which the good’s employment may generate on the one hand and would burden him with all the disadvantages resulting from its employment on the other hand”</w:t>
      </w:r>
      <w:r w:rsidRPr="002B6652">
        <w:rPr>
          <w:vertAlign w:val="superscript"/>
          <w:lang w:val="en-US"/>
        </w:rPr>
        <w:footnoteReference w:id="2"/>
      </w:r>
      <w:r w:rsidRPr="002B6652">
        <w:rPr>
          <w:lang w:val="en-US"/>
        </w:rPr>
        <w:t>.</w:t>
      </w:r>
      <w:proofErr w:type="gramEnd"/>
    </w:p>
    <w:p w14:paraId="7F14FFCB" w14:textId="6F40DE28" w:rsidR="00692C6A" w:rsidRPr="00692C6A" w:rsidRDefault="00692C6A" w:rsidP="00692C6A">
      <w:pPr>
        <w:jc w:val="both"/>
        <w:rPr>
          <w:lang w:val="en-US"/>
        </w:rPr>
      </w:pPr>
      <w:proofErr w:type="gramStart"/>
      <w:r w:rsidRPr="00692C6A">
        <w:rPr>
          <w:lang w:val="en-US"/>
        </w:rPr>
        <w:t xml:space="preserve">However, </w:t>
      </w:r>
      <w:r w:rsidR="007B31B2">
        <w:rPr>
          <w:lang w:val="en-US"/>
        </w:rPr>
        <w:t xml:space="preserve">another bright representative of the Austrian Economics </w:t>
      </w:r>
      <w:r w:rsidRPr="00692C6A">
        <w:rPr>
          <w:lang w:val="en-US"/>
        </w:rPr>
        <w:t xml:space="preserve">F. A. Hayek, 1899 –1992, 1974 Nobel Prize Winner, </w:t>
      </w:r>
      <w:r w:rsidR="00543073">
        <w:rPr>
          <w:lang w:val="en-US"/>
        </w:rPr>
        <w:t>actually</w:t>
      </w:r>
      <w:r w:rsidRPr="00692C6A">
        <w:rPr>
          <w:lang w:val="en-US"/>
        </w:rPr>
        <w:t xml:space="preserve"> gave up some of the issues such as environmental to the governments</w:t>
      </w:r>
      <w:r w:rsidR="00543073">
        <w:rPr>
          <w:lang w:val="en-US"/>
        </w:rPr>
        <w:t xml:space="preserve"> by saying</w:t>
      </w:r>
      <w:r w:rsidRPr="00692C6A">
        <w:rPr>
          <w:lang w:val="en-US"/>
        </w:rPr>
        <w:t>: “Nor can certain harmful effects of deforestation, of some methods of farming, or of the smoke and noise of factories, be confined to the owner of the property in question, or to those willing to submit to the damage for an agreed compensation”.</w:t>
      </w:r>
      <w:proofErr w:type="gramEnd"/>
      <w:r w:rsidR="00380C1D" w:rsidRPr="00380C1D">
        <w:rPr>
          <w:lang w:val="en-US"/>
        </w:rPr>
        <w:t xml:space="preserve"> F.A. Hayek suggested that in such instances we must find some substitute for the regulation by the price mechanism, and resort to the substitution of direct regulation by authority</w:t>
      </w:r>
      <w:r w:rsidR="00380C1D">
        <w:rPr>
          <w:lang w:val="en-US"/>
        </w:rPr>
        <w:t>.</w:t>
      </w:r>
      <w:r w:rsidR="00380C1D" w:rsidRPr="00380C1D">
        <w:rPr>
          <w:vertAlign w:val="superscript"/>
          <w:lang w:val="en-US"/>
        </w:rPr>
        <w:t xml:space="preserve"> </w:t>
      </w:r>
      <w:r w:rsidRPr="00692C6A">
        <w:rPr>
          <w:vertAlign w:val="superscript"/>
          <w:lang w:val="en-US"/>
        </w:rPr>
        <w:footnoteReference w:id="3"/>
      </w:r>
    </w:p>
    <w:p w14:paraId="390EC480" w14:textId="4B944E48" w:rsidR="002B6652" w:rsidRPr="002B6652" w:rsidRDefault="002B6652" w:rsidP="002B6652">
      <w:pPr>
        <w:jc w:val="both"/>
        <w:rPr>
          <w:lang w:val="en-US"/>
        </w:rPr>
      </w:pPr>
      <w:r w:rsidRPr="002B6652">
        <w:rPr>
          <w:lang w:val="en-US"/>
        </w:rPr>
        <w:t>Ronald Coase, 1910 – 2013, a British economist, Nobel Prize Winner in Economic Sciences in 1991, proposed a general market-approach to the problem of social cost and a solution based on clearly defined property rights. The approach introduced the concept of clear delimitation of rights to perform activities harmful to third party and provided the basis for the market-based distribution of limited resources as a production factor and for a peer-to-peer settlement of reciprocal damage of part A (the manufacturer) and part B (the third party). “</w:t>
      </w:r>
      <w:r w:rsidRPr="002B6652">
        <w:rPr>
          <w:bCs/>
          <w:lang w:val="en-US"/>
        </w:rPr>
        <w:t>The real question that has to be decided is: should A be allowed to harm B or should B be allowed to harm A? The problem is</w:t>
      </w:r>
      <w:r w:rsidRPr="002B6652">
        <w:rPr>
          <w:b/>
          <w:bCs/>
          <w:lang w:val="en-US"/>
        </w:rPr>
        <w:t xml:space="preserve"> </w:t>
      </w:r>
      <w:r w:rsidRPr="002B6652">
        <w:rPr>
          <w:lang w:val="en-US"/>
        </w:rPr>
        <w:t>to avoid the more serious harm”</w:t>
      </w:r>
      <w:r w:rsidRPr="002B6652">
        <w:rPr>
          <w:vertAlign w:val="superscript"/>
          <w:lang w:val="en-US"/>
        </w:rPr>
        <w:footnoteReference w:id="4"/>
      </w:r>
      <w:r w:rsidRPr="002B6652">
        <w:rPr>
          <w:lang w:val="en-US"/>
        </w:rPr>
        <w:t xml:space="preserve">. The focus is on the aspect, which still is mostly ignored: limiting or banning harmful activities of the polluter, party </w:t>
      </w:r>
      <w:proofErr w:type="gramStart"/>
      <w:r w:rsidRPr="002B6652">
        <w:rPr>
          <w:lang w:val="en-US"/>
        </w:rPr>
        <w:t>A</w:t>
      </w:r>
      <w:proofErr w:type="gramEnd"/>
      <w:r w:rsidRPr="002B6652">
        <w:rPr>
          <w:lang w:val="en-US"/>
        </w:rPr>
        <w:t>, harms him just as his activities harm the people, the third party, party B.</w:t>
      </w:r>
      <w:r w:rsidRPr="002B6652">
        <w:rPr>
          <w:vertAlign w:val="superscript"/>
          <w:lang w:val="en-US"/>
        </w:rPr>
        <w:footnoteReference w:id="5"/>
      </w:r>
      <w:r w:rsidRPr="002B6652">
        <w:rPr>
          <w:lang w:val="en-US"/>
        </w:rPr>
        <w:t xml:space="preserve"> They have to choose, which side of dama</w:t>
      </w:r>
      <w:r w:rsidR="00543073">
        <w:rPr>
          <w:lang w:val="en-US"/>
        </w:rPr>
        <w:t>ge is less costly to compensate.</w:t>
      </w:r>
    </w:p>
    <w:p w14:paraId="06952F28" w14:textId="6CA94600" w:rsidR="002B6652" w:rsidRPr="002B6652" w:rsidRDefault="002B6652" w:rsidP="002B6652">
      <w:pPr>
        <w:jc w:val="both"/>
        <w:rPr>
          <w:lang w:val="en-US"/>
        </w:rPr>
      </w:pPr>
      <w:r w:rsidRPr="002B6652">
        <w:rPr>
          <w:lang w:val="en-US"/>
        </w:rPr>
        <w:t>One of the solutions is strict delimitation of right to execute activities</w:t>
      </w:r>
      <w:r w:rsidR="007B31B2" w:rsidRPr="007B31B2">
        <w:rPr>
          <w:lang w:val="en-US"/>
        </w:rPr>
        <w:t xml:space="preserve"> </w:t>
      </w:r>
      <w:r w:rsidR="007B31B2" w:rsidRPr="002B6652">
        <w:rPr>
          <w:lang w:val="en-US"/>
        </w:rPr>
        <w:t>harmful</w:t>
      </w:r>
      <w:r w:rsidR="007B31B2">
        <w:rPr>
          <w:lang w:val="en-US"/>
        </w:rPr>
        <w:t xml:space="preserve"> to the third party</w:t>
      </w:r>
      <w:r w:rsidRPr="002B6652">
        <w:rPr>
          <w:vertAlign w:val="superscript"/>
          <w:lang w:val="en-US"/>
        </w:rPr>
        <w:footnoteReference w:id="6"/>
      </w:r>
      <w:r w:rsidRPr="002B6652">
        <w:rPr>
          <w:lang w:val="en-US"/>
        </w:rPr>
        <w:t xml:space="preserve"> though the process of allocating these rights</w:t>
      </w:r>
      <w:r w:rsidR="0005776F">
        <w:rPr>
          <w:lang w:val="en-US"/>
        </w:rPr>
        <w:t xml:space="preserve"> in case of government intervention</w:t>
      </w:r>
      <w:r w:rsidRPr="002B6652">
        <w:rPr>
          <w:lang w:val="en-US"/>
        </w:rPr>
        <w:t xml:space="preserve"> is costly and bears significant </w:t>
      </w:r>
      <w:r w:rsidRPr="002B6652">
        <w:rPr>
          <w:lang w:val="en-US"/>
        </w:rPr>
        <w:lastRenderedPageBreak/>
        <w:t>error or corruption risks. It is only in the hypothetical case with zero transaction costs that the initial allocation of the resource would not matter</w:t>
      </w:r>
      <w:r w:rsidR="0005776F">
        <w:rPr>
          <w:lang w:val="en-US"/>
        </w:rPr>
        <w:t>, the case of so-called Coase Theorem</w:t>
      </w:r>
      <w:r w:rsidRPr="002B6652">
        <w:rPr>
          <w:lang w:val="en-US"/>
        </w:rPr>
        <w:t>.</w:t>
      </w:r>
    </w:p>
    <w:p w14:paraId="243EBE0A" w14:textId="0110A26E" w:rsidR="002B6652" w:rsidRPr="002B6652" w:rsidRDefault="002B6652" w:rsidP="00691F32">
      <w:pPr>
        <w:rPr>
          <w:lang w:val="en-US"/>
        </w:rPr>
      </w:pPr>
      <w:r w:rsidRPr="002B6652">
        <w:rPr>
          <w:b/>
          <w:i/>
          <w:lang w:val="en-US"/>
        </w:rPr>
        <w:t xml:space="preserve">Figure </w:t>
      </w:r>
      <w:proofErr w:type="gramStart"/>
      <w:r w:rsidRPr="002B6652">
        <w:rPr>
          <w:b/>
          <w:i/>
          <w:lang w:val="en-US"/>
        </w:rPr>
        <w:t>1</w:t>
      </w:r>
      <w:proofErr w:type="gramEnd"/>
      <w:r w:rsidRPr="002B6652">
        <w:rPr>
          <w:b/>
          <w:i/>
          <w:lang w:val="en-US"/>
        </w:rPr>
        <w:t xml:space="preserve"> – Reciprocal approach to the problem of social cost</w:t>
      </w:r>
      <w:r w:rsidRPr="002B6652">
        <w:rPr>
          <w:b/>
          <w:i/>
          <w:vertAlign w:val="superscript"/>
          <w:lang w:val="en-US"/>
        </w:rPr>
        <w:footnoteReference w:id="7"/>
      </w:r>
      <w:r w:rsidRPr="002B6652">
        <w:rPr>
          <w:noProof/>
          <w:lang w:val="en-US"/>
        </w:rPr>
        <w:drawing>
          <wp:inline distT="0" distB="0" distL="0" distR="0" wp14:anchorId="39E1F82A" wp14:editId="23CCC0E4">
            <wp:extent cx="5038725" cy="2809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2809875"/>
                    </a:xfrm>
                    <a:prstGeom prst="rect">
                      <a:avLst/>
                    </a:prstGeom>
                    <a:noFill/>
                    <a:ln>
                      <a:noFill/>
                    </a:ln>
                  </pic:spPr>
                </pic:pic>
              </a:graphicData>
            </a:graphic>
          </wp:inline>
        </w:drawing>
      </w:r>
    </w:p>
    <w:p w14:paraId="7DCB88BE" w14:textId="77777777" w:rsidR="00543073" w:rsidRPr="00543073" w:rsidRDefault="00543073" w:rsidP="00543073">
      <w:pPr>
        <w:jc w:val="both"/>
        <w:rPr>
          <w:i/>
          <w:lang w:val="en-US"/>
        </w:rPr>
      </w:pPr>
      <w:r w:rsidRPr="00543073">
        <w:rPr>
          <w:i/>
          <w:lang w:val="en-US"/>
        </w:rPr>
        <w:t>For example, the manufacturer produces gasoline with huge damage to the environment, natural resources, i.e. to future generations, and to the people’s health, security and quality of life. If the manufacture would have to reimburse all of the damage, prevent pollution, restore natural resources and environment, cover all related medical expenses, etc., the cost of production would increase dramatically, and he might even have to stop the production of goods demanded by people. However, if t</w:t>
      </w:r>
      <w:r w:rsidRPr="00543073">
        <w:rPr>
          <w:i/>
          <w:iCs/>
          <w:lang w:val="en-US"/>
        </w:rPr>
        <w:t xml:space="preserve">he third party, i.e. those who </w:t>
      </w:r>
      <w:proofErr w:type="gramStart"/>
      <w:r w:rsidRPr="00543073">
        <w:rPr>
          <w:i/>
          <w:iCs/>
          <w:lang w:val="en-US"/>
        </w:rPr>
        <w:t>are aggrieved</w:t>
      </w:r>
      <w:proofErr w:type="gramEnd"/>
      <w:r w:rsidRPr="00543073">
        <w:rPr>
          <w:i/>
          <w:iCs/>
          <w:lang w:val="en-US"/>
        </w:rPr>
        <w:t xml:space="preserve"> by the damage, take “adaptation measures” or measures to offset, mitigate the damage, costs might be even greater. Both of the solutions are equal and differ only by the level of costs.</w:t>
      </w:r>
    </w:p>
    <w:p w14:paraId="19793D9D" w14:textId="05C4778C" w:rsidR="002B6652" w:rsidRPr="002B6652" w:rsidRDefault="002B6652" w:rsidP="002B6652">
      <w:pPr>
        <w:jc w:val="both"/>
        <w:rPr>
          <w:lang w:val="en-US"/>
        </w:rPr>
      </w:pPr>
      <w:r w:rsidRPr="002B6652">
        <w:rPr>
          <w:lang w:val="en-US"/>
        </w:rPr>
        <w:t xml:space="preserve">With transfer of the entitlement for property, “the burden of the disadvantages”, i.e. responsibility for negative externalities </w:t>
      </w:r>
      <w:proofErr w:type="gramStart"/>
      <w:r w:rsidRPr="002B6652">
        <w:rPr>
          <w:lang w:val="en-US"/>
        </w:rPr>
        <w:t>is transferred</w:t>
      </w:r>
      <w:proofErr w:type="gramEnd"/>
      <w:r w:rsidRPr="002B6652">
        <w:rPr>
          <w:lang w:val="en-US"/>
        </w:rPr>
        <w:t xml:space="preserve"> to the buyer. The seller should inform the buyer of the risks and consequences associated with the goods transferred. Nevertheless, once the transaction is executed liability lies with the one who has acquired property rights. </w:t>
      </w:r>
    </w:p>
    <w:p w14:paraId="5B3D81C8" w14:textId="3504CB66" w:rsidR="002B6652" w:rsidRPr="002B6652" w:rsidRDefault="002B6652" w:rsidP="002B6652">
      <w:pPr>
        <w:jc w:val="both"/>
        <w:rPr>
          <w:lang w:val="en-US"/>
        </w:rPr>
      </w:pPr>
      <w:r w:rsidRPr="002B6652">
        <w:rPr>
          <w:lang w:val="en-US"/>
        </w:rPr>
        <w:t xml:space="preserve">The manufacturers argue that they supply goods and services in demand, which at least means that the buyer of the goods and services (the second Party) is equally liable. </w:t>
      </w:r>
      <w:r w:rsidR="002D5175" w:rsidRPr="002D5175">
        <w:rPr>
          <w:lang w:val="en-US"/>
        </w:rPr>
        <w:t>From the economic point of view, it is neither the installation, physical objects</w:t>
      </w:r>
      <w:r w:rsidR="002D5175">
        <w:rPr>
          <w:lang w:val="en-US"/>
        </w:rPr>
        <w:t>,</w:t>
      </w:r>
      <w:r w:rsidR="002D5175" w:rsidRPr="002D5175">
        <w:rPr>
          <w:lang w:val="en-US"/>
        </w:rPr>
        <w:t xml:space="preserve"> nor physical processes, nor the ownership that causes damage. </w:t>
      </w:r>
      <w:r w:rsidR="002D5175" w:rsidRPr="002D5175">
        <w:rPr>
          <w:b/>
          <w:lang w:val="en-US"/>
        </w:rPr>
        <w:t>It is actually the transaction, the deal, the trade, which causes the damage</w:t>
      </w:r>
      <w:r w:rsidR="002D5175" w:rsidRPr="002D5175">
        <w:rPr>
          <w:lang w:val="en-US"/>
        </w:rPr>
        <w:t xml:space="preserve">, </w:t>
      </w:r>
      <w:r w:rsidR="002D5175" w:rsidRPr="002D5175">
        <w:rPr>
          <w:b/>
          <w:lang w:val="en-US"/>
        </w:rPr>
        <w:t>the negative externality</w:t>
      </w:r>
      <w:r w:rsidRPr="002B6652">
        <w:rPr>
          <w:lang w:val="en-US"/>
        </w:rPr>
        <w:t>.</w:t>
      </w:r>
      <w:r w:rsidR="00850162">
        <w:rPr>
          <w:rStyle w:val="af5"/>
          <w:lang w:val="en-US"/>
        </w:rPr>
        <w:footnoteReference w:id="8"/>
      </w:r>
    </w:p>
    <w:p w14:paraId="61A8B603" w14:textId="5D8929EA" w:rsidR="002B6652" w:rsidRPr="002B6652" w:rsidRDefault="002B6652" w:rsidP="002B6652">
      <w:pPr>
        <w:jc w:val="both"/>
        <w:rPr>
          <w:lang w:val="en-US"/>
        </w:rPr>
      </w:pPr>
      <w:r w:rsidRPr="002B6652">
        <w:rPr>
          <w:lang w:val="en-US"/>
        </w:rPr>
        <w:t xml:space="preserve">Furthermore, if the parties agree on reimbursement from the manufacturer, the latter can reimburse negative externality (collateral damage) against the claim of the third party in monetary form, or the settlement may imply that </w:t>
      </w:r>
      <w:proofErr w:type="gramStart"/>
      <w:r w:rsidRPr="002B6652">
        <w:rPr>
          <w:lang w:val="en-US"/>
        </w:rPr>
        <w:t>either of the parties or professional supplier (the forth Party) provides</w:t>
      </w:r>
      <w:proofErr w:type="gramEnd"/>
      <w:r w:rsidRPr="002B6652">
        <w:rPr>
          <w:lang w:val="en-US"/>
        </w:rPr>
        <w:t xml:space="preserve"> for compensation (offsetting) or mitigation ‘in-kind’. </w:t>
      </w:r>
    </w:p>
    <w:p w14:paraId="205B818F" w14:textId="024E057F" w:rsidR="002B6652" w:rsidRPr="002B6652" w:rsidRDefault="002B6652" w:rsidP="00691F32">
      <w:pPr>
        <w:rPr>
          <w:lang w:val="en-US"/>
        </w:rPr>
      </w:pPr>
      <w:r w:rsidRPr="002B6652">
        <w:rPr>
          <w:b/>
          <w:i/>
          <w:lang w:val="en-US"/>
        </w:rPr>
        <w:lastRenderedPageBreak/>
        <w:t xml:space="preserve">Figure </w:t>
      </w:r>
      <w:proofErr w:type="gramStart"/>
      <w:r w:rsidRPr="002B6652">
        <w:rPr>
          <w:b/>
          <w:i/>
          <w:lang w:val="en-US"/>
        </w:rPr>
        <w:t>2</w:t>
      </w:r>
      <w:proofErr w:type="gramEnd"/>
      <w:r w:rsidRPr="002B6652">
        <w:rPr>
          <w:b/>
          <w:i/>
          <w:lang w:val="en-US"/>
        </w:rPr>
        <w:t xml:space="preserve"> – Comprehensive peer-to-peer social cost problem solution</w:t>
      </w:r>
      <w:r w:rsidR="006C7F56">
        <w:rPr>
          <w:b/>
          <w:i/>
          <w:noProof/>
          <w:lang w:val="en-US"/>
        </w:rPr>
        <w:drawing>
          <wp:inline distT="0" distB="0" distL="0" distR="0" wp14:anchorId="668BEECB" wp14:editId="4BD3E6BF">
            <wp:extent cx="5977255" cy="3448050"/>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7255" cy="3448050"/>
                    </a:xfrm>
                    <a:prstGeom prst="rect">
                      <a:avLst/>
                    </a:prstGeom>
                    <a:noFill/>
                  </pic:spPr>
                </pic:pic>
              </a:graphicData>
            </a:graphic>
          </wp:inline>
        </w:drawing>
      </w:r>
    </w:p>
    <w:p w14:paraId="71861713" w14:textId="77777777" w:rsidR="002B6652" w:rsidRPr="002B6652" w:rsidRDefault="002B6652" w:rsidP="002B6652">
      <w:pPr>
        <w:jc w:val="both"/>
        <w:rPr>
          <w:lang w:val="en-US"/>
        </w:rPr>
      </w:pPr>
      <w:r w:rsidRPr="002B6652">
        <w:rPr>
          <w:lang w:val="en-US"/>
        </w:rPr>
        <w:t xml:space="preserve">Traditionally, such complicated interactions of the four parties </w:t>
      </w:r>
      <w:proofErr w:type="gramStart"/>
      <w:r w:rsidRPr="002B6652">
        <w:rPr>
          <w:lang w:val="en-US"/>
        </w:rPr>
        <w:t>are regulated</w:t>
      </w:r>
      <w:proofErr w:type="gramEnd"/>
      <w:r w:rsidRPr="002B6652">
        <w:rPr>
          <w:lang w:val="en-US"/>
        </w:rPr>
        <w:t xml:space="preserve"> by the governments, which take possession of the arbitration, assign taxes and fees, quantitative limits and commitments.</w:t>
      </w:r>
    </w:p>
    <w:p w14:paraId="403022B9" w14:textId="77777777" w:rsidR="002B6652" w:rsidRPr="002B6652" w:rsidRDefault="002B6652" w:rsidP="002B6652">
      <w:pPr>
        <w:jc w:val="both"/>
        <w:rPr>
          <w:i/>
          <w:lang w:val="en-US"/>
        </w:rPr>
      </w:pPr>
      <w:r w:rsidRPr="002B6652">
        <w:rPr>
          <w:i/>
          <w:lang w:val="en-US"/>
        </w:rPr>
        <w:t xml:space="preserve">In the example with gasoline, the damage </w:t>
      </w:r>
      <w:proofErr w:type="gramStart"/>
      <w:r w:rsidRPr="002B6652">
        <w:rPr>
          <w:i/>
          <w:lang w:val="en-US"/>
        </w:rPr>
        <w:t>is partially controlled</w:t>
      </w:r>
      <w:proofErr w:type="gramEnd"/>
      <w:r w:rsidRPr="002B6652">
        <w:rPr>
          <w:i/>
          <w:lang w:val="en-US"/>
        </w:rPr>
        <w:t xml:space="preserve"> by the government, which applies licenses, taxes, fees, penalties, and technical regulations. As a result, the government awards the manufacturer with </w:t>
      </w:r>
      <w:r w:rsidRPr="002B6652">
        <w:rPr>
          <w:i/>
          <w:iCs/>
          <w:lang w:val="la-Latn"/>
        </w:rPr>
        <w:t>indulgentia</w:t>
      </w:r>
      <w:r w:rsidRPr="002B6652">
        <w:rPr>
          <w:i/>
          <w:iCs/>
          <w:lang w:val="en-US"/>
        </w:rPr>
        <w:t>, and the latter transfers the liability to the car owner. The third party, those who are aggrieved by the damage, may try to seek reimbursement, which would be difficult as the manufacture has already acquired legitimate clearance from the government, or take measures to offset, mitigate the damage or adapt to it or take no measures at all (which is the less evil than the interference of the government).</w:t>
      </w:r>
      <w:r w:rsidRPr="002B6652">
        <w:rPr>
          <w:i/>
          <w:iCs/>
          <w:vertAlign w:val="superscript"/>
          <w:lang w:val="en-US"/>
        </w:rPr>
        <w:footnoteReference w:id="9"/>
      </w:r>
      <w:r w:rsidRPr="002B6652">
        <w:rPr>
          <w:i/>
          <w:iCs/>
          <w:lang w:val="en-US"/>
        </w:rPr>
        <w:t xml:space="preserve">  </w:t>
      </w:r>
    </w:p>
    <w:p w14:paraId="11B0DF90" w14:textId="77777777" w:rsidR="002B6652" w:rsidRPr="002B6652" w:rsidRDefault="002B6652" w:rsidP="002B6652">
      <w:pPr>
        <w:jc w:val="both"/>
        <w:rPr>
          <w:lang w:val="en-US"/>
        </w:rPr>
      </w:pPr>
      <w:r w:rsidRPr="002B6652">
        <w:rPr>
          <w:lang w:val="en-US"/>
        </w:rPr>
        <w:t>Experience shows that government “corrective” interventions often do not resolve but aggravate problems while blocking alternative ways for optimal settlement. This leads to the need to “correct corrective interventions” and governmental activity starts to circle without positive results with great transaction costs for society.</w:t>
      </w:r>
      <w:r w:rsidRPr="002B6652">
        <w:rPr>
          <w:vertAlign w:val="superscript"/>
          <w:lang w:val="en-US"/>
        </w:rPr>
        <w:footnoteReference w:id="10"/>
      </w:r>
      <w:r w:rsidRPr="002B6652">
        <w:rPr>
          <w:lang w:val="en-US"/>
        </w:rPr>
        <w:t xml:space="preserve"> </w:t>
      </w:r>
    </w:p>
    <w:p w14:paraId="1FAAE244" w14:textId="77777777" w:rsidR="00AD7E6F" w:rsidRPr="00AD7E6F" w:rsidRDefault="00AD7E6F" w:rsidP="00AD7E6F">
      <w:pPr>
        <w:jc w:val="both"/>
        <w:rPr>
          <w:lang w:val="en-US"/>
        </w:rPr>
      </w:pPr>
      <w:r w:rsidRPr="00AD7E6F">
        <w:rPr>
          <w:lang w:val="en-US"/>
        </w:rPr>
        <w:lastRenderedPageBreak/>
        <w:t xml:space="preserve">In fact, solution </w:t>
      </w:r>
      <w:proofErr w:type="gramStart"/>
      <w:r w:rsidRPr="00AD7E6F">
        <w:rPr>
          <w:lang w:val="en-US"/>
        </w:rPr>
        <w:t>may be found</w:t>
      </w:r>
      <w:proofErr w:type="gramEnd"/>
      <w:r w:rsidRPr="00AD7E6F">
        <w:rPr>
          <w:lang w:val="en-US"/>
        </w:rPr>
        <w:t xml:space="preserve"> if there is no government or any “superior authority” action</w:t>
      </w:r>
      <w:r w:rsidRPr="00AD7E6F">
        <w:rPr>
          <w:vertAlign w:val="superscript"/>
          <w:lang w:val="en-US"/>
        </w:rPr>
        <w:footnoteReference w:id="11"/>
      </w:r>
      <w:r w:rsidRPr="00AD7E6F">
        <w:rPr>
          <w:lang w:val="en-US"/>
        </w:rPr>
        <w:t>, only if the parties interact on decentralized peer-to peer basis.</w:t>
      </w:r>
      <w:r w:rsidRPr="00AD7E6F">
        <w:rPr>
          <w:vertAlign w:val="superscript"/>
          <w:lang w:val="en-US"/>
        </w:rPr>
        <w:footnoteReference w:id="12"/>
      </w:r>
      <w:r w:rsidRPr="00AD7E6F">
        <w:rPr>
          <w:lang w:val="en-US"/>
        </w:rPr>
        <w:t xml:space="preserve"> </w:t>
      </w:r>
    </w:p>
    <w:p w14:paraId="79B71913" w14:textId="2409491E" w:rsidR="00AD7E6F" w:rsidRPr="00AD7E6F" w:rsidRDefault="00AD7E6F" w:rsidP="00AD7E6F">
      <w:pPr>
        <w:jc w:val="both"/>
        <w:rPr>
          <w:lang w:val="en-US"/>
        </w:rPr>
      </w:pPr>
      <w:r w:rsidRPr="00AD7E6F">
        <w:rPr>
          <w:lang w:val="en-US"/>
        </w:rPr>
        <w:t>The goal is to arrange for or create low transaction cost institutions to promote settlement between the parties via smart contracts without government interventions. That is where the governments could help: in supporting the creation of such institutions. F.A. Hayek noted that “</w:t>
      </w:r>
      <w:r w:rsidR="003152D0" w:rsidRPr="003152D0">
        <w:rPr>
          <w:lang w:val="en-US"/>
        </w:rPr>
        <w:t xml:space="preserve">compared with this method of </w:t>
      </w:r>
      <w:r w:rsidRPr="00AD7E6F">
        <w:rPr>
          <w:lang w:val="en-US"/>
        </w:rPr>
        <w:t>solving the economic problem – by decentralization plus automatic coordination through the price system – the method of central direction is incredibly clumsy, primitive, and limited in scope”.</w:t>
      </w:r>
      <w:r w:rsidRPr="00AD7E6F">
        <w:rPr>
          <w:vertAlign w:val="superscript"/>
          <w:lang w:val="en-US"/>
        </w:rPr>
        <w:footnoteReference w:id="13"/>
      </w:r>
    </w:p>
    <w:p w14:paraId="070ED857" w14:textId="01E6C8EF" w:rsidR="002B6652" w:rsidRPr="002B6652" w:rsidRDefault="002B6652" w:rsidP="002B6652">
      <w:pPr>
        <w:jc w:val="both"/>
        <w:rPr>
          <w:lang w:val="en-US"/>
        </w:rPr>
      </w:pPr>
      <w:r w:rsidRPr="002B6652">
        <w:rPr>
          <w:lang w:val="en-US"/>
        </w:rPr>
        <w:t>The advance of public and programmable blockchain technology, Turing complete systems, and triple-entry accounting</w:t>
      </w:r>
      <w:r w:rsidR="003C1976">
        <w:rPr>
          <w:lang w:val="en-US"/>
        </w:rPr>
        <w:t>,</w:t>
      </w:r>
      <w:r w:rsidRPr="002B6652">
        <w:rPr>
          <w:lang w:val="en-US"/>
        </w:rPr>
        <w:t xml:space="preserve"> allows for decentralized arbitration and truly peer-to-peer settlement, and thus allows for further development of the Coase paradigm embracing all of the four parties involved excluding superior authority or allowing the parties to choose the medium. </w:t>
      </w:r>
    </w:p>
    <w:p w14:paraId="5F8E3B13" w14:textId="79396905" w:rsidR="002B6652" w:rsidRDefault="002B6652" w:rsidP="002B6652">
      <w:pPr>
        <w:jc w:val="both"/>
        <w:rPr>
          <w:lang w:val="en-US"/>
        </w:rPr>
      </w:pPr>
      <w:r w:rsidRPr="002B6652">
        <w:rPr>
          <w:lang w:val="en-US"/>
        </w:rPr>
        <w:t xml:space="preserve">Blockchain technology </w:t>
      </w:r>
      <w:proofErr w:type="gramStart"/>
      <w:r w:rsidRPr="002B6652">
        <w:rPr>
          <w:lang w:val="en-US"/>
        </w:rPr>
        <w:t>can be applied</w:t>
      </w:r>
      <w:proofErr w:type="gramEnd"/>
      <w:r w:rsidRPr="002B6652">
        <w:rPr>
          <w:lang w:val="en-US"/>
        </w:rPr>
        <w:t xml:space="preserve"> to mitigate collateral socioeconomic damage caused by economic activities; it requires market-based infrastructure that supports decentralized peer-to-peer interactions, the public network evaluation of negative impacts, the distribution of liability, and settlement by means of mitigation</w:t>
      </w:r>
      <w:r w:rsidR="003C1976">
        <w:rPr>
          <w:lang w:val="en-US"/>
        </w:rPr>
        <w:t xml:space="preserve"> instruments</w:t>
      </w:r>
      <w:r w:rsidRPr="002B6652">
        <w:rPr>
          <w:lang w:val="en-US"/>
        </w:rPr>
        <w:t>. DAO Integral Platform for Climate Initiatives (DAO IPCI) is the public blockchain institution to perform the task.</w:t>
      </w:r>
    </w:p>
    <w:p w14:paraId="403FBA75" w14:textId="5D1E8D8A" w:rsidR="006C3468" w:rsidRPr="002B6652" w:rsidRDefault="006C3468" w:rsidP="002B6652">
      <w:pPr>
        <w:jc w:val="both"/>
        <w:rPr>
          <w:lang w:val="en-US"/>
        </w:rPr>
      </w:pPr>
      <w:r w:rsidRPr="006C3468">
        <w:rPr>
          <w:lang w:val="en-US"/>
        </w:rPr>
        <w:t xml:space="preserve">There are no technical restrictions as to who may launch an autonomous mitigation program in DAO IPCI. Existing mandatory or voluntary, large and small programs of diverse scopes of activities and jurisdictions, as well as businesses, NGOs and even individuals may create independent decentralized autonomous organizations (DAO) to implement specific programs and projects and perform transactions in DAO IPCI.  Independent mitigation programs within DAO IPCI may interlace and form a web of DAOs that share selected modules and protocols with their peers. </w:t>
      </w:r>
    </w:p>
    <w:p w14:paraId="14DBC3AC" w14:textId="6C701002" w:rsidR="00AB65E3" w:rsidRPr="00AB65E3" w:rsidRDefault="00AB65E3" w:rsidP="00D63D33">
      <w:pPr>
        <w:jc w:val="both"/>
        <w:rPr>
          <w:lang w:val="en-US"/>
        </w:rPr>
      </w:pPr>
      <w:r w:rsidRPr="00AB65E3">
        <w:rPr>
          <w:lang w:val="en-US"/>
        </w:rPr>
        <w:t xml:space="preserve">Furthermore, as costs are subjective </w:t>
      </w:r>
      <w:r w:rsidR="00CB5360">
        <w:rPr>
          <w:lang w:val="en-US"/>
        </w:rPr>
        <w:t xml:space="preserve">in </w:t>
      </w:r>
      <w:r w:rsidRPr="00AB65E3">
        <w:rPr>
          <w:lang w:val="en-US"/>
        </w:rPr>
        <w:t>nature and are determined through</w:t>
      </w:r>
      <w:r w:rsidR="00680735">
        <w:rPr>
          <w:lang w:val="en-US"/>
        </w:rPr>
        <w:t xml:space="preserve"> aligning or</w:t>
      </w:r>
      <w:r w:rsidRPr="00AB65E3">
        <w:rPr>
          <w:lang w:val="en-US"/>
        </w:rPr>
        <w:t xml:space="preserve"> juxtapositioning values</w:t>
      </w:r>
      <w:r w:rsidR="008D6640">
        <w:rPr>
          <w:lang w:val="en-US"/>
        </w:rPr>
        <w:t xml:space="preserve"> of the parties involved</w:t>
      </w:r>
      <w:r w:rsidRPr="00AB65E3">
        <w:rPr>
          <w:lang w:val="en-US"/>
        </w:rPr>
        <w:t xml:space="preserve">, </w:t>
      </w:r>
      <w:r w:rsidR="00CB5360">
        <w:rPr>
          <w:lang w:val="en-US"/>
        </w:rPr>
        <w:t xml:space="preserve">a </w:t>
      </w:r>
      <w:r w:rsidRPr="00AB65E3">
        <w:rPr>
          <w:lang w:val="en-US"/>
        </w:rPr>
        <w:t>decentralized peer-to-peer approach is necessary for</w:t>
      </w:r>
      <w:r w:rsidR="00CB5360">
        <w:rPr>
          <w:lang w:val="en-US"/>
        </w:rPr>
        <w:t xml:space="preserve"> the</w:t>
      </w:r>
      <w:r w:rsidRPr="00AB65E3">
        <w:rPr>
          <w:lang w:val="en-US"/>
        </w:rPr>
        <w:t xml:space="preserve"> evaluation of </w:t>
      </w:r>
      <w:r w:rsidR="00CB5360">
        <w:rPr>
          <w:lang w:val="en-US"/>
        </w:rPr>
        <w:t xml:space="preserve">the costs of </w:t>
      </w:r>
      <w:r w:rsidRPr="00AB65E3">
        <w:rPr>
          <w:lang w:val="en-US"/>
        </w:rPr>
        <w:t>negative impact</w:t>
      </w:r>
      <w:r w:rsidR="00CB5360">
        <w:rPr>
          <w:lang w:val="en-US"/>
        </w:rPr>
        <w:t xml:space="preserve">s </w:t>
      </w:r>
      <w:r w:rsidRPr="00AB65E3">
        <w:rPr>
          <w:lang w:val="en-US"/>
        </w:rPr>
        <w:t>and mitigation benefits</w:t>
      </w:r>
      <w:r w:rsidR="00680735">
        <w:rPr>
          <w:lang w:val="en-US"/>
        </w:rPr>
        <w:t xml:space="preserve"> even if objective quantification is applied</w:t>
      </w:r>
      <w:r w:rsidRPr="00AB65E3">
        <w:rPr>
          <w:lang w:val="en-US"/>
        </w:rPr>
        <w:t>.</w:t>
      </w:r>
    </w:p>
    <w:p w14:paraId="4AE11EF1" w14:textId="222315D0" w:rsidR="00AB7282" w:rsidRDefault="00FF49AD" w:rsidP="00D63D33">
      <w:pPr>
        <w:jc w:val="both"/>
        <w:rPr>
          <w:lang w:val="en-US"/>
        </w:rPr>
      </w:pPr>
      <w:proofErr w:type="gramStart"/>
      <w:r>
        <w:rPr>
          <w:iCs/>
          <w:lang w:val="en-US"/>
        </w:rPr>
        <w:t>The m</w:t>
      </w:r>
      <w:r w:rsidR="00AB7282">
        <w:rPr>
          <w:iCs/>
          <w:lang w:val="en-US"/>
        </w:rPr>
        <w:t xml:space="preserve">ost prominent </w:t>
      </w:r>
      <w:r w:rsidR="0009187A">
        <w:rPr>
          <w:iCs/>
          <w:lang w:val="en-US"/>
        </w:rPr>
        <w:t xml:space="preserve">instance </w:t>
      </w:r>
      <w:r w:rsidR="00AB7282">
        <w:rPr>
          <w:iCs/>
          <w:lang w:val="en-US"/>
        </w:rPr>
        <w:t xml:space="preserve">of </w:t>
      </w:r>
      <w:r w:rsidR="00AB7282" w:rsidRPr="00AB7282">
        <w:rPr>
          <w:iCs/>
          <w:lang w:val="en-US"/>
        </w:rPr>
        <w:t xml:space="preserve">collateral socio-environmental damage </w:t>
      </w:r>
      <w:r w:rsidR="0009187A">
        <w:rPr>
          <w:iCs/>
          <w:lang w:val="en-US"/>
        </w:rPr>
        <w:t>created by</w:t>
      </w:r>
      <w:r w:rsidR="0009187A" w:rsidRPr="00AB7282">
        <w:rPr>
          <w:iCs/>
          <w:lang w:val="en-US"/>
        </w:rPr>
        <w:t xml:space="preserve"> </w:t>
      </w:r>
      <w:r w:rsidR="00AB7282" w:rsidRPr="00AB7282">
        <w:rPr>
          <w:iCs/>
          <w:lang w:val="en-US"/>
        </w:rPr>
        <w:t>economic activities</w:t>
      </w:r>
      <w:r w:rsidR="00AB7282">
        <w:rPr>
          <w:iCs/>
          <w:lang w:val="en-US"/>
        </w:rPr>
        <w:t xml:space="preserve"> are </w:t>
      </w:r>
      <w:r w:rsidR="00AB7282" w:rsidRPr="00AB7282">
        <w:rPr>
          <w:iCs/>
          <w:lang w:val="en-US"/>
        </w:rPr>
        <w:t>global environmental risks</w:t>
      </w:r>
      <w:r w:rsidR="0009187A">
        <w:rPr>
          <w:iCs/>
          <w:lang w:val="en-US"/>
        </w:rPr>
        <w:t xml:space="preserve"> and</w:t>
      </w:r>
      <w:r w:rsidR="00AB7282" w:rsidRPr="00AB7282">
        <w:rPr>
          <w:iCs/>
          <w:lang w:val="en-US"/>
        </w:rPr>
        <w:t xml:space="preserve"> climate change-related threats, which affect </w:t>
      </w:r>
      <w:r w:rsidR="0009187A">
        <w:rPr>
          <w:iCs/>
          <w:lang w:val="en-US"/>
        </w:rPr>
        <w:t>the health and well-being</w:t>
      </w:r>
      <w:r w:rsidR="0009187A" w:rsidRPr="00AB7282">
        <w:rPr>
          <w:iCs/>
          <w:lang w:val="en-US"/>
        </w:rPr>
        <w:t xml:space="preserve"> </w:t>
      </w:r>
      <w:r w:rsidR="00AB7282" w:rsidRPr="00AB7282">
        <w:rPr>
          <w:iCs/>
          <w:lang w:val="en-US"/>
        </w:rPr>
        <w:t>of individuals,</w:t>
      </w:r>
      <w:r w:rsidR="0009187A">
        <w:rPr>
          <w:iCs/>
          <w:lang w:val="en-US"/>
        </w:rPr>
        <w:t xml:space="preserve"> create </w:t>
      </w:r>
      <w:r w:rsidR="0009187A" w:rsidRPr="00AB7282">
        <w:rPr>
          <w:iCs/>
          <w:lang w:val="en-US"/>
        </w:rPr>
        <w:t>physical risks, financial, liability and regulation risks</w:t>
      </w:r>
      <w:r w:rsidR="0009187A">
        <w:rPr>
          <w:iCs/>
          <w:lang w:val="en-US"/>
        </w:rPr>
        <w:t xml:space="preserve"> for</w:t>
      </w:r>
      <w:r w:rsidR="00AB7282" w:rsidRPr="00AB7282">
        <w:rPr>
          <w:iCs/>
          <w:lang w:val="en-US"/>
        </w:rPr>
        <w:t xml:space="preserve"> businesse</w:t>
      </w:r>
      <w:r w:rsidR="0009187A">
        <w:rPr>
          <w:iCs/>
          <w:lang w:val="en-US"/>
        </w:rPr>
        <w:t>s</w:t>
      </w:r>
      <w:r w:rsidR="00680735">
        <w:rPr>
          <w:iCs/>
          <w:lang w:val="en-US"/>
        </w:rPr>
        <w:t xml:space="preserve">, and further to </w:t>
      </w:r>
      <w:r w:rsidR="00680735" w:rsidRPr="00680735">
        <w:rPr>
          <w:iCs/>
          <w:lang w:val="en-US"/>
        </w:rPr>
        <w:t>displacement of vulnerable populations due to sea level rise, natural disaster</w:t>
      </w:r>
      <w:r w:rsidR="00680735">
        <w:rPr>
          <w:iCs/>
          <w:lang w:val="en-US"/>
        </w:rPr>
        <w:t>s</w:t>
      </w:r>
      <w:r w:rsidR="00680735" w:rsidRPr="00680735">
        <w:rPr>
          <w:iCs/>
          <w:lang w:val="en-US"/>
        </w:rPr>
        <w:t>, impacts on agriculture and water supply from drought and heat waves, etc</w:t>
      </w:r>
      <w:r w:rsidR="00AB7282" w:rsidRPr="00AB7282">
        <w:rPr>
          <w:iCs/>
          <w:lang w:val="en-US"/>
        </w:rPr>
        <w:t>.</w:t>
      </w:r>
      <w:proofErr w:type="gramEnd"/>
      <w:r w:rsidR="00AB7282" w:rsidRPr="00AB7282">
        <w:rPr>
          <w:iCs/>
          <w:lang w:val="en-US"/>
        </w:rPr>
        <w:t xml:space="preserve"> </w:t>
      </w:r>
    </w:p>
    <w:p w14:paraId="396CE748" w14:textId="5F32AE20" w:rsidR="00245111" w:rsidRPr="008C1F84" w:rsidRDefault="00B62EA9" w:rsidP="00245111">
      <w:pPr>
        <w:jc w:val="both"/>
        <w:rPr>
          <w:lang w:val="en-US"/>
        </w:rPr>
      </w:pPr>
      <w:r>
        <w:rPr>
          <w:iCs/>
          <w:lang w:val="en-US"/>
        </w:rPr>
        <w:t>The public is aware of these problems</w:t>
      </w:r>
      <w:r w:rsidR="00680735">
        <w:rPr>
          <w:iCs/>
          <w:lang w:val="en-US"/>
        </w:rPr>
        <w:t>,</w:t>
      </w:r>
      <w:r w:rsidR="00245111" w:rsidRPr="0009187A">
        <w:rPr>
          <w:iCs/>
          <w:lang w:val="en-US"/>
        </w:rPr>
        <w:t xml:space="preserve"> and individuals and </w:t>
      </w:r>
      <w:r w:rsidR="00CD686D" w:rsidRPr="0009187A">
        <w:rPr>
          <w:iCs/>
          <w:lang w:val="en-US"/>
        </w:rPr>
        <w:t xml:space="preserve">businesses </w:t>
      </w:r>
      <w:r>
        <w:rPr>
          <w:iCs/>
          <w:lang w:val="en-US"/>
        </w:rPr>
        <w:t xml:space="preserve">desire </w:t>
      </w:r>
      <w:r w:rsidR="00CD686D" w:rsidRPr="0009187A">
        <w:rPr>
          <w:iCs/>
          <w:lang w:val="en-US"/>
        </w:rPr>
        <w:t>to</w:t>
      </w:r>
      <w:r w:rsidR="00245111" w:rsidRPr="0009187A">
        <w:rPr>
          <w:iCs/>
          <w:lang w:val="en-US"/>
        </w:rPr>
        <w:t xml:space="preserve"> support various projects offsetting environmental damage</w:t>
      </w:r>
      <w:r w:rsidR="007F5222">
        <w:rPr>
          <w:iCs/>
          <w:lang w:val="en-US"/>
        </w:rPr>
        <w:t xml:space="preserve">, there is a demand for such project </w:t>
      </w:r>
      <w:r w:rsidR="008D6640">
        <w:rPr>
          <w:iCs/>
          <w:lang w:val="en-US"/>
        </w:rPr>
        <w:t>results</w:t>
      </w:r>
      <w:r w:rsidR="007F5222">
        <w:rPr>
          <w:iCs/>
          <w:lang w:val="en-US"/>
        </w:rPr>
        <w:t xml:space="preserve">. However, the projects </w:t>
      </w:r>
      <w:r w:rsidR="00CD686D" w:rsidRPr="008C1F84">
        <w:rPr>
          <w:iCs/>
          <w:lang w:val="en-US"/>
        </w:rPr>
        <w:t>and</w:t>
      </w:r>
      <w:r w:rsidR="00245111" w:rsidRPr="008C1F84">
        <w:rPr>
          <w:iCs/>
          <w:lang w:val="en-US"/>
        </w:rPr>
        <w:t xml:space="preserve"> their outcomes are sought to be </w:t>
      </w:r>
      <w:r w:rsidR="00210786">
        <w:rPr>
          <w:iCs/>
          <w:lang w:val="en-US"/>
        </w:rPr>
        <w:t xml:space="preserve">independently verified </w:t>
      </w:r>
      <w:r w:rsidR="00245111" w:rsidRPr="008C1F84">
        <w:rPr>
          <w:iCs/>
          <w:lang w:val="en-US"/>
        </w:rPr>
        <w:t>quantified commitments</w:t>
      </w:r>
      <w:r w:rsidR="001C240B">
        <w:rPr>
          <w:iCs/>
          <w:lang w:val="en-US"/>
        </w:rPr>
        <w:t>-based</w:t>
      </w:r>
      <w:r w:rsidR="00245111" w:rsidRPr="008C1F84">
        <w:rPr>
          <w:iCs/>
          <w:lang w:val="en-US"/>
        </w:rPr>
        <w:t xml:space="preserve"> and result-based. </w:t>
      </w:r>
    </w:p>
    <w:p w14:paraId="21F185EE" w14:textId="0D928ECB" w:rsidR="00AB65E3" w:rsidRPr="00AB65E3" w:rsidRDefault="00B62EA9" w:rsidP="00D63D33">
      <w:pPr>
        <w:jc w:val="both"/>
        <w:rPr>
          <w:lang w:val="en-US"/>
        </w:rPr>
      </w:pPr>
      <w:r>
        <w:rPr>
          <w:lang w:val="en-US"/>
        </w:rPr>
        <w:t>The challenge of mitigating c</w:t>
      </w:r>
      <w:r w:rsidR="00AB65E3" w:rsidRPr="00AB65E3">
        <w:rPr>
          <w:lang w:val="en-US"/>
        </w:rPr>
        <w:t xml:space="preserve">limate change is universal </w:t>
      </w:r>
      <w:r w:rsidR="007F5222">
        <w:rPr>
          <w:lang w:val="en-US"/>
        </w:rPr>
        <w:t xml:space="preserve">across the globe </w:t>
      </w:r>
      <w:r w:rsidR="00AB65E3" w:rsidRPr="00AB65E3">
        <w:rPr>
          <w:lang w:val="en-US"/>
        </w:rPr>
        <w:t xml:space="preserve">and in many respects </w:t>
      </w:r>
      <w:r w:rsidR="001C240B">
        <w:rPr>
          <w:lang w:val="en-US"/>
        </w:rPr>
        <w:t xml:space="preserve">is </w:t>
      </w:r>
      <w:r w:rsidR="00AB65E3" w:rsidRPr="00AB65E3">
        <w:rPr>
          <w:lang w:val="en-US"/>
        </w:rPr>
        <w:t xml:space="preserve">most simple case to refer in terms of mitigation of collateral socio-environmental damage of economic activities. The limited resource of the rights to economic activities harmful for the climate is quantifiable, universal and essentially fungible. </w:t>
      </w:r>
    </w:p>
    <w:p w14:paraId="49ABCDF5" w14:textId="2F26B781" w:rsidR="00AB65E3" w:rsidRDefault="00AB65E3" w:rsidP="00D63D33">
      <w:pPr>
        <w:jc w:val="both"/>
        <w:rPr>
          <w:lang w:val="en-US"/>
        </w:rPr>
      </w:pPr>
      <w:r w:rsidRPr="00AB65E3">
        <w:rPr>
          <w:lang w:val="en-US"/>
        </w:rPr>
        <w:lastRenderedPageBreak/>
        <w:t xml:space="preserve">Climate change is a global issue with multiple and extremely diverse sets </w:t>
      </w:r>
      <w:r w:rsidR="008D6640" w:rsidRPr="00AB65E3">
        <w:rPr>
          <w:lang w:val="en-US"/>
        </w:rPr>
        <w:t>of</w:t>
      </w:r>
      <w:r w:rsidR="008D6640">
        <w:rPr>
          <w:lang w:val="en-US"/>
        </w:rPr>
        <w:t xml:space="preserve"> “</w:t>
      </w:r>
      <w:r w:rsidR="00BD758A">
        <w:rPr>
          <w:lang w:val="en-US"/>
        </w:rPr>
        <w:t xml:space="preserve">interested parties” or </w:t>
      </w:r>
      <w:r w:rsidRPr="00AB65E3">
        <w:rPr>
          <w:lang w:val="en-US"/>
        </w:rPr>
        <w:t xml:space="preserve">stakeholders, and </w:t>
      </w:r>
      <w:r w:rsidR="00BD758A">
        <w:rPr>
          <w:lang w:val="en-US"/>
        </w:rPr>
        <w:t>can</w:t>
      </w:r>
      <w:r w:rsidR="00D248A3" w:rsidRPr="00AB65E3">
        <w:rPr>
          <w:lang w:val="en-US"/>
        </w:rPr>
        <w:t xml:space="preserve"> </w:t>
      </w:r>
      <w:r w:rsidRPr="00AB65E3">
        <w:rPr>
          <w:lang w:val="en-US"/>
        </w:rPr>
        <w:t xml:space="preserve">be resolved only on decentralized and public basis. </w:t>
      </w:r>
      <w:proofErr w:type="gramStart"/>
      <w:r w:rsidRPr="00AB65E3">
        <w:rPr>
          <w:lang w:val="en-US"/>
        </w:rPr>
        <w:t>Market instruments to mitigate climate change risk</w:t>
      </w:r>
      <w:r w:rsidR="00D248A3">
        <w:rPr>
          <w:lang w:val="en-US"/>
        </w:rPr>
        <w:t>s and</w:t>
      </w:r>
      <w:r w:rsidRPr="00AB65E3">
        <w:rPr>
          <w:lang w:val="en-US"/>
        </w:rPr>
        <w:t xml:space="preserve"> damages are developing </w:t>
      </w:r>
      <w:r w:rsidR="00D248A3">
        <w:rPr>
          <w:lang w:val="en-US"/>
        </w:rPr>
        <w:t>around the world</w:t>
      </w:r>
      <w:r w:rsidR="00D248A3" w:rsidRPr="00AB65E3">
        <w:rPr>
          <w:lang w:val="en-US"/>
        </w:rPr>
        <w:t xml:space="preserve"> </w:t>
      </w:r>
      <w:r w:rsidRPr="00AB65E3">
        <w:rPr>
          <w:lang w:val="en-US"/>
        </w:rPr>
        <w:t xml:space="preserve">and include </w:t>
      </w:r>
      <w:r w:rsidR="00D248A3">
        <w:rPr>
          <w:lang w:val="en-US"/>
        </w:rPr>
        <w:t xml:space="preserve">the </w:t>
      </w:r>
      <w:r w:rsidR="001C240B">
        <w:rPr>
          <w:lang w:val="en-US"/>
        </w:rPr>
        <w:t xml:space="preserve">UNFCCC </w:t>
      </w:r>
      <w:r w:rsidRPr="00AB65E3">
        <w:rPr>
          <w:lang w:val="en-US"/>
        </w:rPr>
        <w:t>Paris Agreement concept of ‘internationally transferred mitigation outcomes</w:t>
      </w:r>
      <w:r w:rsidR="00D248A3">
        <w:rPr>
          <w:lang w:val="en-US"/>
        </w:rPr>
        <w:t>.</w:t>
      </w:r>
      <w:r w:rsidRPr="00AB65E3">
        <w:rPr>
          <w:lang w:val="en-US"/>
        </w:rPr>
        <w:t>’</w:t>
      </w:r>
      <w:proofErr w:type="gramEnd"/>
      <w:r w:rsidRPr="00AB65E3">
        <w:rPr>
          <w:lang w:val="en-US"/>
        </w:rPr>
        <w:t xml:space="preserve"> Though all carbon units </w:t>
      </w:r>
      <w:r w:rsidR="001C240B" w:rsidRPr="001C240B">
        <w:rPr>
          <w:lang w:val="en-US"/>
        </w:rPr>
        <w:t xml:space="preserve">essentially </w:t>
      </w:r>
      <w:r w:rsidRPr="00AB65E3">
        <w:rPr>
          <w:lang w:val="en-US"/>
        </w:rPr>
        <w:t xml:space="preserve">represent a right to emit </w:t>
      </w:r>
      <w:r w:rsidR="001C240B" w:rsidRPr="00AB65E3">
        <w:rPr>
          <w:lang w:val="en-US"/>
        </w:rPr>
        <w:t>one</w:t>
      </w:r>
      <w:r w:rsidRPr="00AB65E3">
        <w:rPr>
          <w:lang w:val="en-US"/>
        </w:rPr>
        <w:t xml:space="preserve"> t</w:t>
      </w:r>
      <w:r w:rsidR="001C240B">
        <w:rPr>
          <w:lang w:val="en-US"/>
        </w:rPr>
        <w:t>on of carbon dioxide equivalent (</w:t>
      </w:r>
      <w:r w:rsidRPr="00AB65E3">
        <w:rPr>
          <w:lang w:val="en-US"/>
        </w:rPr>
        <w:t>CO</w:t>
      </w:r>
      <w:r w:rsidRPr="00362C78">
        <w:rPr>
          <w:vertAlign w:val="subscript"/>
          <w:lang w:val="en-US"/>
        </w:rPr>
        <w:t>2</w:t>
      </w:r>
      <w:r w:rsidRPr="00AB65E3">
        <w:rPr>
          <w:lang w:val="en-US"/>
        </w:rPr>
        <w:t>e</w:t>
      </w:r>
      <w:r w:rsidR="003926E0">
        <w:rPr>
          <w:lang w:val="en-US"/>
        </w:rPr>
        <w:t>)</w:t>
      </w:r>
      <w:r w:rsidRPr="00AB65E3">
        <w:rPr>
          <w:lang w:val="en-US"/>
        </w:rPr>
        <w:t xml:space="preserve">, regulatory, legal, commercial and trade, transactional, interjurisdictional barriers </w:t>
      </w:r>
      <w:r w:rsidR="00D248A3">
        <w:rPr>
          <w:lang w:val="en-US"/>
        </w:rPr>
        <w:t>reduce</w:t>
      </w:r>
      <w:r w:rsidR="00D248A3" w:rsidRPr="00AB65E3">
        <w:rPr>
          <w:lang w:val="en-US"/>
        </w:rPr>
        <w:t xml:space="preserve"> </w:t>
      </w:r>
      <w:r w:rsidRPr="00AB65E3">
        <w:rPr>
          <w:lang w:val="en-US"/>
        </w:rPr>
        <w:t xml:space="preserve">their fungibility, which gravely affects their economic and environmental efficiency. </w:t>
      </w:r>
      <w:proofErr w:type="gramStart"/>
      <w:r w:rsidRPr="00AB65E3">
        <w:rPr>
          <w:lang w:val="en-US"/>
        </w:rPr>
        <w:t xml:space="preserve">There has been no </w:t>
      </w:r>
      <w:r w:rsidR="00F3370A">
        <w:rPr>
          <w:lang w:val="en-US"/>
        </w:rPr>
        <w:t>“</w:t>
      </w:r>
      <w:r w:rsidRPr="00AB65E3">
        <w:rPr>
          <w:lang w:val="en-US"/>
        </w:rPr>
        <w:t>common space fabric</w:t>
      </w:r>
      <w:r w:rsidR="00F3370A">
        <w:rPr>
          <w:lang w:val="en-US"/>
        </w:rPr>
        <w:t>”</w:t>
      </w:r>
      <w:r w:rsidR="00D248A3">
        <w:rPr>
          <w:lang w:val="en-US"/>
        </w:rPr>
        <w:t xml:space="preserve"> or </w:t>
      </w:r>
      <w:r w:rsidRPr="00AB65E3">
        <w:rPr>
          <w:lang w:val="en-US"/>
        </w:rPr>
        <w:t xml:space="preserve">financial instrument and ecosystem </w:t>
      </w:r>
      <w:r w:rsidR="00D248A3">
        <w:rPr>
          <w:lang w:val="en-US"/>
        </w:rPr>
        <w:t>that</w:t>
      </w:r>
      <w:r w:rsidR="00D248A3" w:rsidRPr="00AB65E3">
        <w:rPr>
          <w:lang w:val="en-US"/>
        </w:rPr>
        <w:t xml:space="preserve"> </w:t>
      </w:r>
      <w:r w:rsidRPr="00AB65E3">
        <w:rPr>
          <w:lang w:val="en-US"/>
        </w:rPr>
        <w:t>would be universal, easy-to-use, transparent and reliable.</w:t>
      </w:r>
      <w:proofErr w:type="gramEnd"/>
      <w:r w:rsidRPr="00AB65E3">
        <w:rPr>
          <w:lang w:val="en-US"/>
        </w:rPr>
        <w:t xml:space="preserve"> </w:t>
      </w:r>
      <w:r w:rsidR="00D248A3">
        <w:rPr>
          <w:lang w:val="en-US"/>
        </w:rPr>
        <w:t>Ideally, such an</w:t>
      </w:r>
      <w:r w:rsidR="00D248A3" w:rsidRPr="00AB65E3">
        <w:rPr>
          <w:lang w:val="en-US"/>
        </w:rPr>
        <w:t xml:space="preserve"> </w:t>
      </w:r>
      <w:r w:rsidRPr="00AB65E3">
        <w:rPr>
          <w:lang w:val="en-US"/>
        </w:rPr>
        <w:t xml:space="preserve">ecosystem would allow diverse stakeholders, governments, civil society, businesses and individuals </w:t>
      </w:r>
      <w:proofErr w:type="gramStart"/>
      <w:r w:rsidR="005648DE">
        <w:rPr>
          <w:lang w:val="en-US"/>
        </w:rPr>
        <w:t xml:space="preserve">to </w:t>
      </w:r>
      <w:r w:rsidR="00BD758A" w:rsidRPr="00AB65E3">
        <w:rPr>
          <w:lang w:val="en-US"/>
        </w:rPr>
        <w:t>truly</w:t>
      </w:r>
      <w:r w:rsidR="00BD12A3" w:rsidRPr="00AB65E3">
        <w:rPr>
          <w:lang w:val="en-US"/>
        </w:rPr>
        <w:t xml:space="preserve"> </w:t>
      </w:r>
      <w:r w:rsidR="00BD12A3">
        <w:rPr>
          <w:lang w:val="en-US"/>
        </w:rPr>
        <w:t xml:space="preserve">and directly </w:t>
      </w:r>
      <w:r w:rsidRPr="00AB65E3">
        <w:rPr>
          <w:lang w:val="en-US"/>
        </w:rPr>
        <w:t>participate</w:t>
      </w:r>
      <w:proofErr w:type="gramEnd"/>
      <w:r w:rsidRPr="00AB65E3">
        <w:rPr>
          <w:lang w:val="en-US"/>
        </w:rPr>
        <w:t xml:space="preserve"> in mitigation activities, to register quantified commitments, </w:t>
      </w:r>
      <w:r w:rsidR="005648DE">
        <w:rPr>
          <w:lang w:val="en-US"/>
        </w:rPr>
        <w:t xml:space="preserve">to </w:t>
      </w:r>
      <w:r w:rsidRPr="00AB65E3">
        <w:rPr>
          <w:lang w:val="en-US"/>
        </w:rPr>
        <w:t xml:space="preserve">invest environmental damage mitigation projects, to offset </w:t>
      </w:r>
      <w:r w:rsidR="005648DE">
        <w:rPr>
          <w:lang w:val="en-US"/>
        </w:rPr>
        <w:t xml:space="preserve">their </w:t>
      </w:r>
      <w:r w:rsidRPr="00AB65E3">
        <w:rPr>
          <w:lang w:val="en-US"/>
        </w:rPr>
        <w:t>carbon footprint</w:t>
      </w:r>
      <w:r w:rsidR="005648DE">
        <w:rPr>
          <w:lang w:val="en-US"/>
        </w:rPr>
        <w:t>s</w:t>
      </w:r>
      <w:r w:rsidRPr="00AB65E3">
        <w:rPr>
          <w:lang w:val="en-US"/>
        </w:rPr>
        <w:t xml:space="preserve">, </w:t>
      </w:r>
      <w:r w:rsidR="005648DE">
        <w:rPr>
          <w:lang w:val="en-US"/>
        </w:rPr>
        <w:t xml:space="preserve">and to </w:t>
      </w:r>
      <w:r w:rsidRPr="00AB65E3">
        <w:rPr>
          <w:lang w:val="en-US"/>
        </w:rPr>
        <w:t xml:space="preserve">acquire and trade mitigation </w:t>
      </w:r>
      <w:r w:rsidR="00F3370A">
        <w:rPr>
          <w:lang w:val="en-US"/>
        </w:rPr>
        <w:t>rewards</w:t>
      </w:r>
      <w:r w:rsidRPr="00AB65E3">
        <w:rPr>
          <w:lang w:val="en-US"/>
        </w:rPr>
        <w:t xml:space="preserve">. In a way, we may define the </w:t>
      </w:r>
      <w:r w:rsidR="005F288E">
        <w:rPr>
          <w:lang w:val="en-US"/>
        </w:rPr>
        <w:t xml:space="preserve">UNFCCC </w:t>
      </w:r>
      <w:r w:rsidRPr="00AB65E3">
        <w:rPr>
          <w:lang w:val="en-US"/>
        </w:rPr>
        <w:t>Paris Agreement as a ‘global climate policy interaction protocol’ addressing this issue.</w:t>
      </w:r>
    </w:p>
    <w:p w14:paraId="5F090951" w14:textId="48DDDC4D" w:rsidR="00AB65E3" w:rsidRPr="00AB65E3" w:rsidRDefault="00AB65E3" w:rsidP="00D63D33">
      <w:pPr>
        <w:jc w:val="both"/>
        <w:rPr>
          <w:lang w:val="en-US"/>
        </w:rPr>
      </w:pPr>
      <w:r w:rsidRPr="00AB65E3">
        <w:rPr>
          <w:lang w:val="en-US"/>
        </w:rPr>
        <w:t>One of the main barriers to the introduction of environmental markets, especially decentralized peer-to-peer schemes</w:t>
      </w:r>
      <w:r w:rsidR="00E04863">
        <w:rPr>
          <w:lang w:val="en-US"/>
        </w:rPr>
        <w:t>,</w:t>
      </w:r>
      <w:r w:rsidRPr="00AB65E3">
        <w:rPr>
          <w:lang w:val="en-US"/>
        </w:rPr>
        <w:t xml:space="preserve"> is</w:t>
      </w:r>
      <w:r w:rsidR="009C3276">
        <w:rPr>
          <w:lang w:val="en-US"/>
        </w:rPr>
        <w:t xml:space="preserve"> </w:t>
      </w:r>
      <w:r w:rsidRPr="00AB65E3">
        <w:rPr>
          <w:lang w:val="en-US"/>
        </w:rPr>
        <w:t xml:space="preserve">inertia of the </w:t>
      </w:r>
      <w:r w:rsidR="009C3276" w:rsidRPr="009C3276">
        <w:rPr>
          <w:lang w:val="en-US"/>
        </w:rPr>
        <w:t xml:space="preserve">existing environmental </w:t>
      </w:r>
      <w:r w:rsidRPr="00AB65E3">
        <w:rPr>
          <w:lang w:val="en-US"/>
        </w:rPr>
        <w:t xml:space="preserve">regulatory mechanisms, "rut" thinking, corporate interests, </w:t>
      </w:r>
      <w:r w:rsidR="00AE376E">
        <w:rPr>
          <w:lang w:val="en-US"/>
        </w:rPr>
        <w:t xml:space="preserve">and </w:t>
      </w:r>
      <w:r w:rsidRPr="00AB65E3">
        <w:rPr>
          <w:lang w:val="en-US"/>
        </w:rPr>
        <w:t xml:space="preserve">"the evil you know is better than the evil you don’t" concept. </w:t>
      </w:r>
      <w:r w:rsidR="00AE376E">
        <w:rPr>
          <w:lang w:val="en-US"/>
        </w:rPr>
        <w:t xml:space="preserve">John </w:t>
      </w:r>
      <w:proofErr w:type="spellStart"/>
      <w:r w:rsidR="00AE376E">
        <w:rPr>
          <w:lang w:val="en-US"/>
        </w:rPr>
        <w:t>Palmisano</w:t>
      </w:r>
      <w:proofErr w:type="spellEnd"/>
      <w:r w:rsidR="00AE376E">
        <w:rPr>
          <w:lang w:val="en-US"/>
        </w:rPr>
        <w:t>, the architect of the first in history emission trading scheme</w:t>
      </w:r>
      <w:r w:rsidR="00D16EAE">
        <w:rPr>
          <w:lang w:val="en-US"/>
        </w:rPr>
        <w:t>,</w:t>
      </w:r>
      <w:r w:rsidR="00AE376E">
        <w:rPr>
          <w:lang w:val="en-US"/>
        </w:rPr>
        <w:t xml:space="preserve"> pointed out </w:t>
      </w:r>
      <w:r w:rsidRPr="00AB65E3">
        <w:rPr>
          <w:lang w:val="en-US"/>
        </w:rPr>
        <w:t>“</w:t>
      </w:r>
      <w:r w:rsidR="00AE376E">
        <w:rPr>
          <w:lang w:val="en-US"/>
        </w:rPr>
        <w:t>e</w:t>
      </w:r>
      <w:r w:rsidRPr="00AB65E3">
        <w:rPr>
          <w:lang w:val="en-US"/>
        </w:rPr>
        <w:t>xisting system, with all of its imperfections, was at least understood and capable of being manipulated by learned and skilled industry and regulatory professionals”.</w:t>
      </w:r>
      <w:r w:rsidRPr="00AB65E3">
        <w:rPr>
          <w:vertAlign w:val="superscript"/>
          <w:lang w:val="en-US"/>
        </w:rPr>
        <w:footnoteReference w:id="14"/>
      </w:r>
      <w:r w:rsidRPr="00AB65E3">
        <w:rPr>
          <w:lang w:val="en-US"/>
        </w:rPr>
        <w:t xml:space="preserve"> “Fundamental rationale for emissions trading is that industry does not need to be told how to achieve inexpensive emissions reductions; industry only needs to be given the freedom to develop these reductions in a way that assures positive environmental outcomes”.</w:t>
      </w:r>
      <w:r w:rsidRPr="00AB65E3">
        <w:rPr>
          <w:vertAlign w:val="superscript"/>
          <w:lang w:val="en-US"/>
        </w:rPr>
        <w:footnoteReference w:id="15"/>
      </w:r>
      <w:r w:rsidRPr="00AB65E3">
        <w:rPr>
          <w:lang w:val="en-US"/>
        </w:rPr>
        <w:t xml:space="preserve"> </w:t>
      </w:r>
      <w:r w:rsidR="00AE376E">
        <w:rPr>
          <w:lang w:val="en-US"/>
        </w:rPr>
        <w:t>When administrative regul</w:t>
      </w:r>
      <w:r w:rsidR="00D16EAE">
        <w:rPr>
          <w:lang w:val="en-US"/>
        </w:rPr>
        <w:t xml:space="preserve">ation </w:t>
      </w:r>
      <w:proofErr w:type="gramStart"/>
      <w:r w:rsidR="00D16EAE">
        <w:rPr>
          <w:lang w:val="en-US"/>
        </w:rPr>
        <w:t>is substituted</w:t>
      </w:r>
      <w:proofErr w:type="gramEnd"/>
      <w:r w:rsidR="00D16EAE">
        <w:rPr>
          <w:lang w:val="en-US"/>
        </w:rPr>
        <w:t xml:space="preserve"> by market, m</w:t>
      </w:r>
      <w:r w:rsidR="006F7FB6">
        <w:rPr>
          <w:lang w:val="en-US"/>
        </w:rPr>
        <w:t>any</w:t>
      </w:r>
      <w:r w:rsidRPr="00AB65E3">
        <w:rPr>
          <w:lang w:val="en-US"/>
        </w:rPr>
        <w:t xml:space="preserve"> employees of government and corporate environmental agencies </w:t>
      </w:r>
      <w:r w:rsidR="00ED6E05">
        <w:rPr>
          <w:lang w:val="en-US"/>
        </w:rPr>
        <w:t>might</w:t>
      </w:r>
      <w:r w:rsidRPr="00AB65E3">
        <w:rPr>
          <w:lang w:val="en-US"/>
        </w:rPr>
        <w:t xml:space="preserve"> face the need to retrain or even the threat of losing their </w:t>
      </w:r>
      <w:r w:rsidR="006F7FB6" w:rsidRPr="00AB65E3">
        <w:rPr>
          <w:lang w:val="en-US"/>
        </w:rPr>
        <w:t>jobs</w:t>
      </w:r>
      <w:r w:rsidRPr="00AB65E3">
        <w:rPr>
          <w:lang w:val="en-US"/>
        </w:rPr>
        <w:t xml:space="preserve"> and their solidarity in opposition to the new model is quite understandable.</w:t>
      </w:r>
    </w:p>
    <w:p w14:paraId="78B7560B" w14:textId="5A26B467" w:rsidR="00AB65E3" w:rsidRPr="00AB65E3" w:rsidRDefault="00AB65E3" w:rsidP="00D63D33">
      <w:pPr>
        <w:jc w:val="both"/>
        <w:rPr>
          <w:lang w:val="en-US"/>
        </w:rPr>
      </w:pPr>
      <w:r w:rsidRPr="00AB65E3">
        <w:rPr>
          <w:lang w:val="en-US"/>
        </w:rPr>
        <w:t>The opposition to blockchain</w:t>
      </w:r>
      <w:r w:rsidR="00D16EAE">
        <w:rPr>
          <w:lang w:val="en-US"/>
        </w:rPr>
        <w:t xml:space="preserve"> incarnation of</w:t>
      </w:r>
      <w:r w:rsidRPr="00AB65E3">
        <w:rPr>
          <w:lang w:val="en-US"/>
        </w:rPr>
        <w:t xml:space="preserve"> </w:t>
      </w:r>
      <w:r w:rsidR="00370534">
        <w:rPr>
          <w:lang w:val="en-US"/>
        </w:rPr>
        <w:t xml:space="preserve">market </w:t>
      </w:r>
      <w:r w:rsidR="00FC248D">
        <w:rPr>
          <w:lang w:val="en-US"/>
        </w:rPr>
        <w:t>models and concepts</w:t>
      </w:r>
      <w:r w:rsidR="006F7FB6">
        <w:rPr>
          <w:lang w:val="en-US"/>
        </w:rPr>
        <w:t xml:space="preserve"> is even more evident</w:t>
      </w:r>
      <w:r w:rsidRPr="00AB65E3">
        <w:rPr>
          <w:lang w:val="en-US"/>
        </w:rPr>
        <w:t>. Blockchain solution</w:t>
      </w:r>
      <w:r w:rsidR="005D0748">
        <w:rPr>
          <w:lang w:val="en-US"/>
        </w:rPr>
        <w:t>s, which are</w:t>
      </w:r>
      <w:r w:rsidRPr="00AB65E3">
        <w:rPr>
          <w:lang w:val="en-US"/>
        </w:rPr>
        <w:t xml:space="preserve"> decentralized</w:t>
      </w:r>
      <w:r w:rsidR="00ED6E05">
        <w:rPr>
          <w:lang w:val="en-US"/>
        </w:rPr>
        <w:t xml:space="preserve"> and transparent</w:t>
      </w:r>
      <w:r w:rsidRPr="00AB65E3">
        <w:rPr>
          <w:lang w:val="en-US"/>
        </w:rPr>
        <w:t xml:space="preserve">, would be disruptive </w:t>
      </w:r>
      <w:r w:rsidR="005D0748">
        <w:rPr>
          <w:lang w:val="en-US"/>
        </w:rPr>
        <w:t>to</w:t>
      </w:r>
      <w:r w:rsidR="005D0748" w:rsidRPr="00AB65E3">
        <w:rPr>
          <w:lang w:val="en-US"/>
        </w:rPr>
        <w:t xml:space="preserve"> </w:t>
      </w:r>
      <w:r w:rsidRPr="00AB65E3">
        <w:rPr>
          <w:lang w:val="en-US"/>
        </w:rPr>
        <w:t>the businesses</w:t>
      </w:r>
      <w:r w:rsidR="006F7FB6">
        <w:rPr>
          <w:lang w:val="en-US"/>
        </w:rPr>
        <w:t xml:space="preserve"> of registries, brokers and for many of the regulatory </w:t>
      </w:r>
      <w:r w:rsidR="00256F1E">
        <w:rPr>
          <w:lang w:val="en-US"/>
        </w:rPr>
        <w:t>functions</w:t>
      </w:r>
      <w:r w:rsidR="00D16EAE">
        <w:rPr>
          <w:lang w:val="en-US"/>
        </w:rPr>
        <w:t>.</w:t>
      </w:r>
    </w:p>
    <w:p w14:paraId="66FCFB8C" w14:textId="5A6AE9D5" w:rsidR="00AB65E3" w:rsidRPr="00AB65E3" w:rsidRDefault="00AA69BC" w:rsidP="00D63D33">
      <w:pPr>
        <w:jc w:val="both"/>
        <w:rPr>
          <w:lang w:val="en-US"/>
        </w:rPr>
      </w:pPr>
      <w:r>
        <w:rPr>
          <w:lang w:val="en-US"/>
        </w:rPr>
        <w:t>A m</w:t>
      </w:r>
      <w:r w:rsidR="00AB65E3" w:rsidRPr="00AB65E3">
        <w:rPr>
          <w:lang w:val="en-US"/>
        </w:rPr>
        <w:t>arket-based approach is fundamentally quantity</w:t>
      </w:r>
      <w:r w:rsidR="006F7FB6">
        <w:rPr>
          <w:lang w:val="en-US"/>
        </w:rPr>
        <w:t xml:space="preserve"> and </w:t>
      </w:r>
      <w:r w:rsidR="00AB65E3" w:rsidRPr="00AB65E3">
        <w:rPr>
          <w:lang w:val="en-US"/>
        </w:rPr>
        <w:t xml:space="preserve">resource-based. Once the resource </w:t>
      </w:r>
      <w:proofErr w:type="gramStart"/>
      <w:r w:rsidR="00AB65E3" w:rsidRPr="00AB65E3">
        <w:rPr>
          <w:lang w:val="en-US"/>
        </w:rPr>
        <w:t xml:space="preserve">is </w:t>
      </w:r>
      <w:r w:rsidR="006F7FB6">
        <w:rPr>
          <w:lang w:val="en-US"/>
        </w:rPr>
        <w:t>capped</w:t>
      </w:r>
      <w:r w:rsidR="00370534">
        <w:rPr>
          <w:lang w:val="en-US"/>
        </w:rPr>
        <w:t xml:space="preserve"> and </w:t>
      </w:r>
      <w:r>
        <w:rPr>
          <w:lang w:val="en-US"/>
        </w:rPr>
        <w:t>quantified</w:t>
      </w:r>
      <w:r w:rsidR="00AB65E3" w:rsidRPr="00AB65E3">
        <w:rPr>
          <w:lang w:val="en-US"/>
        </w:rPr>
        <w:t>,</w:t>
      </w:r>
      <w:proofErr w:type="gramEnd"/>
      <w:r w:rsidR="00AB65E3" w:rsidRPr="00AB65E3">
        <w:rPr>
          <w:lang w:val="en-US"/>
        </w:rPr>
        <w:t xml:space="preserve"> self-executing algorithms are applicable substituting many of the regulatory functions</w:t>
      </w:r>
      <w:r w:rsidR="006F7FB6">
        <w:rPr>
          <w:lang w:val="en-US"/>
        </w:rPr>
        <w:t xml:space="preserve"> such as </w:t>
      </w:r>
      <w:r w:rsidR="00256F1E">
        <w:rPr>
          <w:lang w:val="en-US"/>
        </w:rPr>
        <w:t xml:space="preserve">establishing specific restrictions and technical parameters for </w:t>
      </w:r>
      <w:r w:rsidR="00D16EAE">
        <w:rPr>
          <w:lang w:val="en-US"/>
        </w:rPr>
        <w:t>each</w:t>
      </w:r>
      <w:r w:rsidR="00256F1E">
        <w:rPr>
          <w:lang w:val="en-US"/>
        </w:rPr>
        <w:t xml:space="preserve"> source of pollution</w:t>
      </w:r>
      <w:r w:rsidR="00AB65E3" w:rsidRPr="00AB65E3">
        <w:rPr>
          <w:lang w:val="en-US"/>
        </w:rPr>
        <w:t>.</w:t>
      </w:r>
      <w:r w:rsidR="00256F1E">
        <w:rPr>
          <w:lang w:val="en-US"/>
        </w:rPr>
        <w:t xml:space="preserve"> Consequentially, i</w:t>
      </w:r>
      <w:r w:rsidR="00AB65E3" w:rsidRPr="00AB65E3">
        <w:rPr>
          <w:lang w:val="en-US"/>
        </w:rPr>
        <w:t>t would seem feasible for the partisans of market approach</w:t>
      </w:r>
      <w:r w:rsidR="00ED6E05">
        <w:rPr>
          <w:lang w:val="en-US"/>
        </w:rPr>
        <w:t xml:space="preserve"> </w:t>
      </w:r>
      <w:r w:rsidR="00AB65E3" w:rsidRPr="00AB65E3">
        <w:rPr>
          <w:lang w:val="en-US"/>
        </w:rPr>
        <w:t xml:space="preserve">to focus on opportunities derived from the development of “quantified greenhouse gas emission limitation and reduction commitments” model. </w:t>
      </w:r>
    </w:p>
    <w:p w14:paraId="124B1C34" w14:textId="52997C33" w:rsidR="00AB65E3" w:rsidRPr="00AB65E3" w:rsidRDefault="00821357" w:rsidP="00D63D33">
      <w:pPr>
        <w:jc w:val="both"/>
        <w:rPr>
          <w:lang w:val="en-US"/>
        </w:rPr>
      </w:pPr>
      <w:proofErr w:type="gramStart"/>
      <w:r>
        <w:rPr>
          <w:lang w:val="en-US"/>
        </w:rPr>
        <w:t>A</w:t>
      </w:r>
      <w:r w:rsidR="00AB65E3" w:rsidRPr="00AB65E3">
        <w:rPr>
          <w:lang w:val="en-US"/>
        </w:rPr>
        <w:t>ccording to</w:t>
      </w:r>
      <w:r w:rsidR="00783B58">
        <w:rPr>
          <w:lang w:val="en-US"/>
        </w:rPr>
        <w:t xml:space="preserve"> the</w:t>
      </w:r>
      <w:r w:rsidR="00AB65E3" w:rsidRPr="00AB65E3">
        <w:rPr>
          <w:lang w:val="en-US"/>
        </w:rPr>
        <w:t xml:space="preserve"> </w:t>
      </w:r>
      <w:r w:rsidR="00370534">
        <w:rPr>
          <w:lang w:val="en-US"/>
        </w:rPr>
        <w:t>Intergovernmental Panel on Climate Change,</w:t>
      </w:r>
      <w:r w:rsidR="00AB65E3" w:rsidRPr="00AB65E3">
        <w:rPr>
          <w:lang w:val="en-US"/>
        </w:rPr>
        <w:t xml:space="preserve"> </w:t>
      </w:r>
      <w:r w:rsidR="00B3144A" w:rsidRPr="00AB65E3">
        <w:rPr>
          <w:lang w:val="en-US"/>
        </w:rPr>
        <w:t>limiting</w:t>
      </w:r>
      <w:r w:rsidR="00AB65E3" w:rsidRPr="00AB65E3">
        <w:rPr>
          <w:lang w:val="en-US"/>
        </w:rPr>
        <w:t xml:space="preserve"> the warming caused by anthropogenic CO</w:t>
      </w:r>
      <w:r w:rsidR="00AB65E3" w:rsidRPr="00362C78">
        <w:rPr>
          <w:vertAlign w:val="subscript"/>
          <w:lang w:val="en-US"/>
        </w:rPr>
        <w:t>2</w:t>
      </w:r>
      <w:r w:rsidR="00AB65E3" w:rsidRPr="00AB65E3">
        <w:rPr>
          <w:lang w:val="en-US"/>
        </w:rPr>
        <w:t xml:space="preserve"> emissions with a probability of &gt;33%, &gt;50%, and &gt;66% to less than 2°C since the period of 1861–1880, required cumulative CO</w:t>
      </w:r>
      <w:r w:rsidR="00AB65E3" w:rsidRPr="00362C78">
        <w:rPr>
          <w:vertAlign w:val="subscript"/>
          <w:lang w:val="en-US"/>
        </w:rPr>
        <w:t>2</w:t>
      </w:r>
      <w:r w:rsidR="00AB65E3" w:rsidRPr="00AB65E3">
        <w:rPr>
          <w:lang w:val="en-US"/>
        </w:rPr>
        <w:t xml:space="preserve"> emissions from all anthropogenic sources to stay between 0 and about 5760 GtCO</w:t>
      </w:r>
      <w:r w:rsidR="00AB65E3" w:rsidRPr="00362C78">
        <w:rPr>
          <w:vertAlign w:val="subscript"/>
          <w:lang w:val="en-US"/>
        </w:rPr>
        <w:t>2</w:t>
      </w:r>
      <w:r w:rsidR="00AB65E3" w:rsidRPr="00AB65E3">
        <w:rPr>
          <w:lang w:val="en-US"/>
        </w:rPr>
        <w:t>, 0 and about 4440 GtCO</w:t>
      </w:r>
      <w:r w:rsidR="00AB65E3" w:rsidRPr="00362C78">
        <w:rPr>
          <w:vertAlign w:val="subscript"/>
          <w:lang w:val="en-US"/>
        </w:rPr>
        <w:t>2</w:t>
      </w:r>
      <w:r w:rsidR="00AB65E3" w:rsidRPr="00AB65E3">
        <w:rPr>
          <w:lang w:val="en-US"/>
        </w:rPr>
        <w:t>, and 0 and about 3670 GtCO</w:t>
      </w:r>
      <w:r w:rsidR="00AB65E3" w:rsidRPr="00362C78">
        <w:rPr>
          <w:vertAlign w:val="subscript"/>
          <w:lang w:val="en-US"/>
        </w:rPr>
        <w:t>2</w:t>
      </w:r>
      <w:r w:rsidR="00AB65E3" w:rsidRPr="00AB65E3">
        <w:rPr>
          <w:lang w:val="en-US"/>
        </w:rPr>
        <w:t xml:space="preserve"> since that period, respectively.</w:t>
      </w:r>
      <w:proofErr w:type="gramEnd"/>
      <w:r w:rsidR="00AB65E3" w:rsidRPr="00AB65E3">
        <w:rPr>
          <w:lang w:val="en-US"/>
        </w:rPr>
        <w:t xml:space="preserve"> An amount of 1890 [1630 to 2150] GtCO</w:t>
      </w:r>
      <w:r w:rsidR="00AB65E3" w:rsidRPr="00362C78">
        <w:rPr>
          <w:vertAlign w:val="subscript"/>
          <w:lang w:val="en-US"/>
        </w:rPr>
        <w:t>2</w:t>
      </w:r>
      <w:r w:rsidR="00AB65E3" w:rsidRPr="00AB65E3">
        <w:rPr>
          <w:lang w:val="en-US"/>
        </w:rPr>
        <w:t xml:space="preserve"> </w:t>
      </w:r>
      <w:r>
        <w:rPr>
          <w:lang w:val="en-US"/>
        </w:rPr>
        <w:t>has been</w:t>
      </w:r>
      <w:r w:rsidR="00AB65E3" w:rsidRPr="00AB65E3">
        <w:rPr>
          <w:lang w:val="en-US"/>
        </w:rPr>
        <w:t xml:space="preserve"> already emitted </w:t>
      </w:r>
      <w:r w:rsidR="00256F1E">
        <w:rPr>
          <w:lang w:val="en-US"/>
        </w:rPr>
        <w:t xml:space="preserve">before and </w:t>
      </w:r>
      <w:r w:rsidR="00AB65E3" w:rsidRPr="00AB65E3">
        <w:rPr>
          <w:lang w:val="en-US"/>
        </w:rPr>
        <w:t xml:space="preserve">by 2011. Therefore, to provide </w:t>
      </w:r>
      <w:r w:rsidR="00F338B1">
        <w:rPr>
          <w:lang w:val="en-US"/>
        </w:rPr>
        <w:t>an</w:t>
      </w:r>
      <w:r w:rsidR="00F338B1" w:rsidRPr="00AB65E3">
        <w:rPr>
          <w:lang w:val="en-US"/>
        </w:rPr>
        <w:t xml:space="preserve"> </w:t>
      </w:r>
      <w:r w:rsidR="00AB65E3" w:rsidRPr="00AB65E3">
        <w:rPr>
          <w:lang w:val="en-US"/>
        </w:rPr>
        <w:t>acceptable level of risk mitigation</w:t>
      </w:r>
      <w:r w:rsidR="00F338B1">
        <w:rPr>
          <w:lang w:val="en-US"/>
        </w:rPr>
        <w:t>,</w:t>
      </w:r>
      <w:r w:rsidR="00AB65E3" w:rsidRPr="00AB65E3">
        <w:rPr>
          <w:lang w:val="en-US"/>
        </w:rPr>
        <w:t xml:space="preserve"> the volume of future emissions since 2011 should stay </w:t>
      </w:r>
      <w:r w:rsidR="00AB65E3" w:rsidRPr="00AB65E3">
        <w:rPr>
          <w:lang w:val="en-US"/>
        </w:rPr>
        <w:lastRenderedPageBreak/>
        <w:t>within approximately 750 GtCO</w:t>
      </w:r>
      <w:r w:rsidR="00AB65E3" w:rsidRPr="00362C78">
        <w:rPr>
          <w:vertAlign w:val="subscript"/>
          <w:lang w:val="en-US"/>
        </w:rPr>
        <w:t>2</w:t>
      </w:r>
      <w:r w:rsidR="00AB65E3" w:rsidRPr="00AB65E3">
        <w:rPr>
          <w:lang w:val="en-US"/>
        </w:rPr>
        <w:t>.</w:t>
      </w:r>
      <w:r w:rsidR="00AB65E3" w:rsidRPr="00AB65E3">
        <w:rPr>
          <w:vertAlign w:val="superscript"/>
          <w:lang w:val="en-US"/>
        </w:rPr>
        <w:footnoteReference w:id="16"/>
      </w:r>
      <w:r w:rsidR="00AB65E3" w:rsidRPr="00AB65E3">
        <w:rPr>
          <w:lang w:val="en-US"/>
        </w:rPr>
        <w:t xml:space="preserve"> Similar</w:t>
      </w:r>
      <w:r w:rsidR="00F338B1">
        <w:rPr>
          <w:lang w:val="en-US"/>
        </w:rPr>
        <w:t>ly</w:t>
      </w:r>
      <w:r w:rsidR="00AB65E3" w:rsidRPr="00AB65E3">
        <w:rPr>
          <w:lang w:val="en-US"/>
        </w:rPr>
        <w:t xml:space="preserve"> to other scarce natural resources</w:t>
      </w:r>
      <w:r w:rsidR="00F338B1">
        <w:rPr>
          <w:lang w:val="en-US"/>
        </w:rPr>
        <w:t>,</w:t>
      </w:r>
      <w:r w:rsidR="00AB65E3" w:rsidRPr="00AB65E3">
        <w:rPr>
          <w:lang w:val="en-US"/>
        </w:rPr>
        <w:t xml:space="preserve"> the more we </w:t>
      </w:r>
      <w:r w:rsidR="005F001C">
        <w:rPr>
          <w:lang w:val="en-US"/>
        </w:rPr>
        <w:t>emit,</w:t>
      </w:r>
      <w:r w:rsidR="00AB65E3" w:rsidRPr="00AB65E3">
        <w:rPr>
          <w:lang w:val="en-US"/>
        </w:rPr>
        <w:t xml:space="preserve"> the more expensive it gets, and the more costs we bear.</w:t>
      </w:r>
    </w:p>
    <w:p w14:paraId="6685B168" w14:textId="5BF50667" w:rsidR="00AB65E3" w:rsidRPr="00AB65E3" w:rsidRDefault="00AB65E3" w:rsidP="00D63D33">
      <w:pPr>
        <w:jc w:val="both"/>
        <w:rPr>
          <w:lang w:val="en-US"/>
        </w:rPr>
      </w:pPr>
      <w:r w:rsidRPr="000A2185">
        <w:rPr>
          <w:lang w:val="en-US"/>
        </w:rPr>
        <w:t xml:space="preserve">Thus, for </w:t>
      </w:r>
      <w:r w:rsidR="00256F1E">
        <w:rPr>
          <w:lang w:val="en-US"/>
        </w:rPr>
        <w:t xml:space="preserve">the year </w:t>
      </w:r>
      <w:r w:rsidRPr="000A2185">
        <w:rPr>
          <w:lang w:val="en-US"/>
        </w:rPr>
        <w:t>2017</w:t>
      </w:r>
      <w:r w:rsidR="006930B0" w:rsidRPr="000A2185">
        <w:rPr>
          <w:lang w:val="en-US"/>
        </w:rPr>
        <w:t>,</w:t>
      </w:r>
      <w:r w:rsidRPr="000A2185">
        <w:rPr>
          <w:lang w:val="en-US"/>
        </w:rPr>
        <w:t xml:space="preserve"> </w:t>
      </w:r>
      <w:r w:rsidR="000A2185">
        <w:rPr>
          <w:lang w:val="en-US"/>
        </w:rPr>
        <w:t xml:space="preserve">a </w:t>
      </w:r>
      <w:r w:rsidRPr="000A2185">
        <w:rPr>
          <w:lang w:val="en-US"/>
        </w:rPr>
        <w:t xml:space="preserve">conservative evaluation of </w:t>
      </w:r>
      <w:r w:rsidR="000A2185">
        <w:rPr>
          <w:lang w:val="en-US"/>
        </w:rPr>
        <w:t xml:space="preserve">the </w:t>
      </w:r>
      <w:r w:rsidRPr="000A2185">
        <w:rPr>
          <w:lang w:val="en-US"/>
        </w:rPr>
        <w:t>anthropogenic GHG emissions budget left would be 600 GtCO</w:t>
      </w:r>
      <w:r w:rsidRPr="00362C78">
        <w:rPr>
          <w:vertAlign w:val="subscript"/>
          <w:lang w:val="en-US"/>
        </w:rPr>
        <w:t>2</w:t>
      </w:r>
      <w:r w:rsidRPr="000A2185">
        <w:rPr>
          <w:lang w:val="en-US"/>
        </w:rPr>
        <w:t xml:space="preserve">. </w:t>
      </w:r>
    </w:p>
    <w:p w14:paraId="31F3DDAA" w14:textId="77777777" w:rsidR="00AB65E3" w:rsidRPr="00AB65E3" w:rsidRDefault="00AB65E3" w:rsidP="00D63D33">
      <w:pPr>
        <w:jc w:val="both"/>
        <w:rPr>
          <w:lang w:val="en-US"/>
        </w:rPr>
      </w:pPr>
      <w:r w:rsidRPr="00AB65E3">
        <w:rPr>
          <w:lang w:val="en-US"/>
        </w:rPr>
        <w:t xml:space="preserve">Within the time-space dichotomy of the party, which causes the damage, and the party, which suffers the damage, on the space scale, there are countries that </w:t>
      </w:r>
      <w:proofErr w:type="gramStart"/>
      <w:r w:rsidRPr="00AB65E3">
        <w:rPr>
          <w:lang w:val="en-US"/>
        </w:rPr>
        <w:t>are presumed</w:t>
      </w:r>
      <w:proofErr w:type="gramEnd"/>
      <w:r w:rsidRPr="00AB65E3">
        <w:rPr>
          <w:lang w:val="en-US"/>
        </w:rPr>
        <w:t xml:space="preserve"> to bear most responsibilities for accumulated damage and countries presumed most vulnerable to the damage. On the time scale, there are forthcoming generations presumed most vulnerable. The global resource of carbon emissions rights is limited and belongs not only to current owners of the sources of emission or those most vulnerable to the damage caused, but to forthcoming generations as well. Moreover, future generations are the party to suffer most damage. Under quantified commitments-based market system property rights </w:t>
      </w:r>
      <w:proofErr w:type="gramStart"/>
      <w:r w:rsidRPr="00AB65E3">
        <w:rPr>
          <w:lang w:val="en-US"/>
        </w:rPr>
        <w:t>should be assigned</w:t>
      </w:r>
      <w:proofErr w:type="gramEnd"/>
      <w:r w:rsidRPr="00AB65E3">
        <w:rPr>
          <w:lang w:val="en-US"/>
        </w:rPr>
        <w:t xml:space="preserve"> to the party, which values them most. Therefore, the market design should provide for the interests of forthcoming generations by long-term budgeting of the resource and probably by development of specific long-term market instruments.</w:t>
      </w:r>
    </w:p>
    <w:p w14:paraId="738B9866" w14:textId="77777777" w:rsidR="00AB65E3" w:rsidRPr="00AB65E3" w:rsidRDefault="00AB65E3" w:rsidP="00D63D33">
      <w:pPr>
        <w:jc w:val="both"/>
        <w:rPr>
          <w:lang w:val="en-US"/>
        </w:rPr>
      </w:pPr>
      <w:r w:rsidRPr="00AB65E3">
        <w:rPr>
          <w:lang w:val="en-US"/>
        </w:rPr>
        <w:t xml:space="preserve">Global coverage of quantified commitments-based programs with the launch of South Korea ETS has reached 4.6 MtCO2 in 2015, and with the launch of nationwide ETS in China might be close to </w:t>
      </w:r>
      <w:proofErr w:type="gramStart"/>
      <w:r w:rsidRPr="00AB65E3">
        <w:rPr>
          <w:lang w:val="en-US"/>
        </w:rPr>
        <w:t>7</w:t>
      </w:r>
      <w:proofErr w:type="gramEnd"/>
      <w:r w:rsidRPr="00AB65E3">
        <w:rPr>
          <w:lang w:val="en-US"/>
        </w:rPr>
        <w:t xml:space="preserve"> MtCO2 in the end of 2017, while annual global emissions remained at approximately 32 GtCO2.</w:t>
      </w:r>
    </w:p>
    <w:p w14:paraId="4D62727F" w14:textId="77777777" w:rsidR="00AB65E3" w:rsidRPr="00AB65E3" w:rsidRDefault="00AB65E3" w:rsidP="00D63D33">
      <w:pPr>
        <w:jc w:val="both"/>
        <w:rPr>
          <w:lang w:val="en-US"/>
        </w:rPr>
      </w:pPr>
      <w:r w:rsidRPr="00AB65E3">
        <w:rPr>
          <w:lang w:val="en-US"/>
        </w:rPr>
        <w:t xml:space="preserve">Quantified greenhouse gas emission limitation and reduction commitments and commitments-based long-term budgeting of emissions are fundamental for environmentally sound mitigation policy. </w:t>
      </w:r>
    </w:p>
    <w:p w14:paraId="54CF4C46" w14:textId="77777777" w:rsidR="00AB65E3" w:rsidRPr="00AB65E3" w:rsidRDefault="00AB65E3" w:rsidP="00D63D33">
      <w:pPr>
        <w:jc w:val="both"/>
        <w:rPr>
          <w:lang w:val="en-US"/>
        </w:rPr>
      </w:pPr>
      <w:r w:rsidRPr="00AB65E3">
        <w:rPr>
          <w:lang w:val="en-US"/>
        </w:rPr>
        <w:t>Wide variety of existing forms of climate commitments, contributions makes them difficult to evaluate by universal scale and is a barrier for interaction, linkage</w:t>
      </w:r>
      <w:r w:rsidR="004236FE" w:rsidRPr="004236FE">
        <w:rPr>
          <w:lang w:val="en-US"/>
        </w:rPr>
        <w:t xml:space="preserve"> </w:t>
      </w:r>
      <w:r w:rsidR="004236FE">
        <w:rPr>
          <w:lang w:val="en-US"/>
        </w:rPr>
        <w:t>of programs</w:t>
      </w:r>
      <w:r w:rsidRPr="00AB65E3">
        <w:rPr>
          <w:lang w:val="en-US"/>
        </w:rPr>
        <w:t xml:space="preserve"> and fungibility </w:t>
      </w:r>
      <w:r w:rsidR="004236FE">
        <w:rPr>
          <w:lang w:val="en-US"/>
        </w:rPr>
        <w:t xml:space="preserve">of instruments (units) </w:t>
      </w:r>
      <w:r w:rsidRPr="00AB65E3">
        <w:rPr>
          <w:lang w:val="en-US"/>
        </w:rPr>
        <w:t xml:space="preserve">that are critical to ensure global mitigation </w:t>
      </w:r>
      <w:r w:rsidR="00586094">
        <w:rPr>
          <w:lang w:val="en-US"/>
        </w:rPr>
        <w:t>effect</w:t>
      </w:r>
      <w:r w:rsidRPr="00AB65E3">
        <w:rPr>
          <w:lang w:val="en-US"/>
        </w:rPr>
        <w:t>.</w:t>
      </w:r>
    </w:p>
    <w:p w14:paraId="2FAE06FA" w14:textId="62038664" w:rsidR="00AB65E3" w:rsidRPr="00AB65E3" w:rsidRDefault="00AB65E3" w:rsidP="00D63D33">
      <w:pPr>
        <w:jc w:val="both"/>
        <w:rPr>
          <w:lang w:val="en-US"/>
        </w:rPr>
      </w:pPr>
      <w:r w:rsidRPr="00AB65E3">
        <w:rPr>
          <w:lang w:val="en-US"/>
        </w:rPr>
        <w:t>Only quantified greenhouse gas emission limitation and reduction commitments and quantified commitments-based compliance units are inherently fungible on global scale.</w:t>
      </w:r>
    </w:p>
    <w:p w14:paraId="424E6DBA" w14:textId="77777777" w:rsidR="00AB65E3" w:rsidRPr="00AB65E3" w:rsidRDefault="00AB65E3" w:rsidP="00D63D33">
      <w:pPr>
        <w:jc w:val="both"/>
        <w:rPr>
          <w:lang w:val="en-US"/>
        </w:rPr>
      </w:pPr>
      <w:r w:rsidRPr="00AB65E3">
        <w:rPr>
          <w:lang w:val="en-US"/>
        </w:rPr>
        <w:t xml:space="preserve">The property rights issue should be resolved to provide for compliance units to become </w:t>
      </w:r>
      <w:r w:rsidR="00143538">
        <w:rPr>
          <w:lang w:val="en-US"/>
        </w:rPr>
        <w:t>tradable</w:t>
      </w:r>
      <w:r w:rsidRPr="00AB65E3">
        <w:rPr>
          <w:lang w:val="en-US"/>
        </w:rPr>
        <w:t>.</w:t>
      </w:r>
      <w:r w:rsidR="00B3144A">
        <w:rPr>
          <w:lang w:val="en-US"/>
        </w:rPr>
        <w:t xml:space="preserve"> </w:t>
      </w:r>
      <w:r w:rsidR="00C514E7">
        <w:rPr>
          <w:lang w:val="en-US"/>
        </w:rPr>
        <w:t>With the property rights explicitly or implicitly established</w:t>
      </w:r>
      <w:r w:rsidRPr="00AB65E3">
        <w:rPr>
          <w:lang w:val="en-US"/>
        </w:rPr>
        <w:t xml:space="preserve"> creation of the market for carbon compliance units, representing rights to emit </w:t>
      </w:r>
      <w:proofErr w:type="gramStart"/>
      <w:r w:rsidRPr="00AB65E3">
        <w:rPr>
          <w:lang w:val="en-US"/>
        </w:rPr>
        <w:t>CO2,</w:t>
      </w:r>
      <w:proofErr w:type="gramEnd"/>
      <w:r w:rsidRPr="00AB65E3">
        <w:rPr>
          <w:lang w:val="en-US"/>
        </w:rPr>
        <w:t xml:space="preserve"> </w:t>
      </w:r>
      <w:r w:rsidR="00C514E7">
        <w:rPr>
          <w:lang w:val="en-US"/>
        </w:rPr>
        <w:t>becomes</w:t>
      </w:r>
      <w:r w:rsidRPr="00AB65E3">
        <w:rPr>
          <w:lang w:val="en-US"/>
        </w:rPr>
        <w:t xml:space="preserve"> possible. Yet, market</w:t>
      </w:r>
      <w:r w:rsidR="00C514E7">
        <w:rPr>
          <w:lang w:val="en-US"/>
        </w:rPr>
        <w:t>s</w:t>
      </w:r>
      <w:r w:rsidRPr="00AB65E3">
        <w:rPr>
          <w:lang w:val="en-US"/>
        </w:rPr>
        <w:t xml:space="preserve"> </w:t>
      </w:r>
      <w:r w:rsidR="00C514E7">
        <w:rPr>
          <w:lang w:val="en-US"/>
        </w:rPr>
        <w:t>do</w:t>
      </w:r>
      <w:r w:rsidRPr="00AB65E3">
        <w:rPr>
          <w:lang w:val="en-US"/>
        </w:rPr>
        <w:t xml:space="preserve"> not </w:t>
      </w:r>
      <w:r w:rsidR="00C514E7">
        <w:rPr>
          <w:lang w:val="en-US"/>
        </w:rPr>
        <w:t>arise</w:t>
      </w:r>
      <w:r w:rsidRPr="00AB65E3">
        <w:rPr>
          <w:lang w:val="en-US"/>
        </w:rPr>
        <w:t xml:space="preserve"> as natural phenomenon. </w:t>
      </w:r>
      <w:r w:rsidR="00C514E7">
        <w:rPr>
          <w:lang w:val="en-US"/>
        </w:rPr>
        <w:t>They</w:t>
      </w:r>
      <w:r w:rsidRPr="00AB65E3">
        <w:rPr>
          <w:lang w:val="en-US"/>
        </w:rPr>
        <w:t xml:space="preserve"> </w:t>
      </w:r>
      <w:proofErr w:type="gramStart"/>
      <w:r w:rsidRPr="00AB65E3">
        <w:rPr>
          <w:lang w:val="en-US"/>
        </w:rPr>
        <w:t>can only be created</w:t>
      </w:r>
      <w:proofErr w:type="gramEnd"/>
      <w:r w:rsidRPr="00AB65E3">
        <w:rPr>
          <w:lang w:val="en-US"/>
        </w:rPr>
        <w:t xml:space="preserve"> by </w:t>
      </w:r>
      <w:r w:rsidR="00C514E7">
        <w:rPr>
          <w:lang w:val="en-US"/>
        </w:rPr>
        <w:t>human</w:t>
      </w:r>
      <w:r w:rsidRPr="00AB65E3">
        <w:rPr>
          <w:lang w:val="en-US"/>
        </w:rPr>
        <w:t xml:space="preserve"> efforts, which could emerge either successful or failed.</w:t>
      </w:r>
    </w:p>
    <w:p w14:paraId="55D4484B" w14:textId="60147072" w:rsidR="00AB65E3" w:rsidRPr="00AB65E3" w:rsidRDefault="00AB65E3" w:rsidP="00D63D33">
      <w:pPr>
        <w:jc w:val="both"/>
        <w:rPr>
          <w:lang w:val="en-US"/>
        </w:rPr>
      </w:pPr>
      <w:r w:rsidRPr="00AB65E3">
        <w:rPr>
          <w:lang w:val="en-US"/>
        </w:rPr>
        <w:t xml:space="preserve">Theoretically, it would be just natural and logical for the ‘peers’ to formulate fair method of allocation of </w:t>
      </w:r>
      <w:r w:rsidR="00854F88">
        <w:rPr>
          <w:lang w:val="en-US"/>
        </w:rPr>
        <w:t>the</w:t>
      </w:r>
      <w:r w:rsidRPr="00AB65E3">
        <w:rPr>
          <w:lang w:val="en-US"/>
        </w:rPr>
        <w:t xml:space="preserve"> resource. The starting point, the baseline could be natural rights of ownership of the resource. For emissions markets the principle </w:t>
      </w:r>
      <w:proofErr w:type="gramStart"/>
      <w:r w:rsidRPr="00AB65E3">
        <w:rPr>
          <w:lang w:val="en-US"/>
        </w:rPr>
        <w:t>is known</w:t>
      </w:r>
      <w:proofErr w:type="gramEnd"/>
      <w:r w:rsidRPr="00AB65E3">
        <w:rPr>
          <w:lang w:val="en-US"/>
        </w:rPr>
        <w:t xml:space="preserve"> as “grandfathering”. It is consistent with liberal economic principle of allocation, one of famous historical examples of the application of which is Homestead Act in 1862 in the United States.</w:t>
      </w:r>
    </w:p>
    <w:p w14:paraId="6F485181" w14:textId="77777777" w:rsidR="003672C9" w:rsidRDefault="00AB65E3" w:rsidP="003672C9">
      <w:pPr>
        <w:jc w:val="both"/>
        <w:rPr>
          <w:lang w:val="en-US"/>
        </w:rPr>
      </w:pPr>
      <w:r w:rsidRPr="00AB65E3">
        <w:rPr>
          <w:lang w:val="en-US"/>
        </w:rPr>
        <w:t xml:space="preserve">In accordance with such Homestead Principle, the resource </w:t>
      </w:r>
      <w:proofErr w:type="gramStart"/>
      <w:r w:rsidRPr="00AB65E3">
        <w:rPr>
          <w:lang w:val="en-US"/>
        </w:rPr>
        <w:t>is distributed</w:t>
      </w:r>
      <w:proofErr w:type="gramEnd"/>
      <w:r w:rsidRPr="00AB65E3">
        <w:rPr>
          <w:lang w:val="en-US"/>
        </w:rPr>
        <w:t xml:space="preserve"> on the grounds of claims, though in limited quantity, and assignment of its share to particular owner is subject to efficient and careful exploitation. </w:t>
      </w:r>
      <w:r w:rsidR="003672C9" w:rsidRPr="00AB65E3">
        <w:rPr>
          <w:lang w:val="en-US"/>
        </w:rPr>
        <w:t xml:space="preserve">Thus, it is </w:t>
      </w:r>
      <w:r w:rsidR="003672C9">
        <w:rPr>
          <w:lang w:val="en-US"/>
        </w:rPr>
        <w:t xml:space="preserve">particular business, enterprise, </w:t>
      </w:r>
      <w:r w:rsidR="003672C9" w:rsidRPr="00AB65E3">
        <w:rPr>
          <w:lang w:val="en-US"/>
        </w:rPr>
        <w:t>the company itself, wh</w:t>
      </w:r>
      <w:r w:rsidR="003672C9">
        <w:rPr>
          <w:lang w:val="en-US"/>
        </w:rPr>
        <w:t>ich</w:t>
      </w:r>
      <w:r w:rsidR="003672C9" w:rsidRPr="00AB65E3">
        <w:rPr>
          <w:lang w:val="en-US"/>
        </w:rPr>
        <w:t xml:space="preserve"> is interested to claim a certain portion of the resource, to claim specified amount of annual greenhouse emission rights, and to justify the claim by efficient exploitation of the resource.</w:t>
      </w:r>
    </w:p>
    <w:p w14:paraId="3F60B3E8" w14:textId="653E98FA" w:rsidR="00DA1EBF" w:rsidRDefault="00DA1EBF" w:rsidP="00D63D33">
      <w:pPr>
        <w:jc w:val="both"/>
        <w:rPr>
          <w:lang w:val="en-US"/>
        </w:rPr>
      </w:pPr>
      <w:r>
        <w:rPr>
          <w:lang w:val="en-US"/>
        </w:rPr>
        <w:lastRenderedPageBreak/>
        <w:t xml:space="preserve">Capping pollution does not necessarily means establishment of specific amount that </w:t>
      </w:r>
      <w:proofErr w:type="gramStart"/>
      <w:r>
        <w:rPr>
          <w:lang w:val="en-US"/>
        </w:rPr>
        <w:t>can be emitted</w:t>
      </w:r>
      <w:proofErr w:type="gramEnd"/>
      <w:r>
        <w:rPr>
          <w:lang w:val="en-US"/>
        </w:rPr>
        <w:t xml:space="preserve"> within a certain </w:t>
      </w:r>
      <w:r w:rsidR="003672C9">
        <w:rPr>
          <w:lang w:val="en-US"/>
        </w:rPr>
        <w:t>period. Emissions can be limited by the existing level, by prohibition of increasing the amount of emission from existing sources and of launching new sources</w:t>
      </w:r>
      <w:r w:rsidR="00D16EAE">
        <w:rPr>
          <w:lang w:val="en-US"/>
        </w:rPr>
        <w:t xml:space="preserve"> without offsetting</w:t>
      </w:r>
      <w:r w:rsidR="003672C9">
        <w:rPr>
          <w:lang w:val="en-US"/>
        </w:rPr>
        <w:t xml:space="preserve">. </w:t>
      </w:r>
    </w:p>
    <w:p w14:paraId="3E8CC1F4" w14:textId="5091633B" w:rsidR="003672C9" w:rsidRPr="00AB65E3" w:rsidRDefault="003672C9" w:rsidP="003672C9">
      <w:pPr>
        <w:jc w:val="both"/>
        <w:rPr>
          <w:lang w:val="en-US"/>
        </w:rPr>
      </w:pPr>
      <w:r>
        <w:rPr>
          <w:lang w:val="en-US"/>
        </w:rPr>
        <w:t xml:space="preserve">The most reliable way to achieve reductions and receive credits is </w:t>
      </w:r>
      <w:r w:rsidRPr="003672C9">
        <w:rPr>
          <w:lang w:val="en-US"/>
        </w:rPr>
        <w:t xml:space="preserve">by shutting down an existing source or permanently curtailing production or operating hours below that which existed at the time the new source application </w:t>
      </w:r>
      <w:proofErr w:type="gramStart"/>
      <w:r w:rsidRPr="003672C9">
        <w:rPr>
          <w:lang w:val="en-US"/>
        </w:rPr>
        <w:t>was submitted</w:t>
      </w:r>
      <w:proofErr w:type="gramEnd"/>
      <w:r w:rsidRPr="003672C9">
        <w:rPr>
          <w:lang w:val="en-US"/>
        </w:rPr>
        <w:t>.</w:t>
      </w:r>
    </w:p>
    <w:p w14:paraId="7F019446" w14:textId="4783A7FB" w:rsidR="00370534" w:rsidRPr="00D63D33" w:rsidRDefault="00370534" w:rsidP="0027224D">
      <w:pPr>
        <w:jc w:val="both"/>
        <w:rPr>
          <w:lang w:val="en-US"/>
        </w:rPr>
      </w:pPr>
      <w:r>
        <w:rPr>
          <w:lang w:val="en-US"/>
        </w:rPr>
        <w:t xml:space="preserve">DAO IPCI </w:t>
      </w:r>
      <w:r w:rsidR="00543B15">
        <w:rPr>
          <w:lang w:val="en-US"/>
        </w:rPr>
        <w:t>Minimum Viable P</w:t>
      </w:r>
      <w:r w:rsidR="00822B87">
        <w:rPr>
          <w:lang w:val="en-US"/>
        </w:rPr>
        <w:t>roduct</w:t>
      </w:r>
      <w:r w:rsidR="00543B15">
        <w:rPr>
          <w:lang w:val="en-US"/>
        </w:rPr>
        <w:t xml:space="preserve"> (MVP)</w:t>
      </w:r>
      <w:r w:rsidR="00822B87">
        <w:rPr>
          <w:lang w:val="en-US"/>
        </w:rPr>
        <w:t xml:space="preserve"> is in place and</w:t>
      </w:r>
      <w:r>
        <w:rPr>
          <w:lang w:val="en-US"/>
        </w:rPr>
        <w:t xml:space="preserve"> provides for </w:t>
      </w:r>
      <w:r w:rsidR="00822B87">
        <w:rPr>
          <w:lang w:val="en-US"/>
        </w:rPr>
        <w:t xml:space="preserve">issuance, transfer, trading and retirement of the tokens representing mitigation instruments, carbon credits or quotas in the first place.  </w:t>
      </w:r>
    </w:p>
    <w:p w14:paraId="7AA2429A" w14:textId="77777777" w:rsidR="00C514E7" w:rsidRDefault="00C514E7">
      <w:pPr>
        <w:rPr>
          <w:rFonts w:ascii="Calibri" w:eastAsia="Times New Roman" w:hAnsi="Calibri" w:cs="Times New Roman"/>
          <w:color w:val="5A5A5A"/>
          <w:spacing w:val="15"/>
          <w:lang w:val="en-US"/>
        </w:rPr>
      </w:pPr>
      <w:r>
        <w:rPr>
          <w:rFonts w:ascii="Calibri" w:eastAsia="Times New Roman" w:hAnsi="Calibri" w:cs="Times New Roman"/>
          <w:color w:val="5A5A5A"/>
          <w:spacing w:val="15"/>
          <w:lang w:val="en-US"/>
        </w:rPr>
        <w:br w:type="page"/>
      </w:r>
    </w:p>
    <w:p w14:paraId="3DE213D8" w14:textId="77777777" w:rsidR="002E387D" w:rsidRDefault="002E387D" w:rsidP="002E387D">
      <w:pPr>
        <w:numPr>
          <w:ilvl w:val="1"/>
          <w:numId w:val="0"/>
        </w:numPr>
        <w:ind w:firstLine="720"/>
        <w:rPr>
          <w:rFonts w:ascii="Calibri" w:eastAsia="Times New Roman" w:hAnsi="Calibri" w:cs="Times New Roman"/>
          <w:color w:val="5A5A5A"/>
          <w:spacing w:val="15"/>
          <w:lang w:val="en-US"/>
        </w:rPr>
      </w:pPr>
    </w:p>
    <w:p w14:paraId="25200FBA" w14:textId="77777777" w:rsidR="002E387D" w:rsidRPr="0029607D" w:rsidRDefault="002E387D" w:rsidP="0029607D">
      <w:pPr>
        <w:pStyle w:val="1"/>
        <w:rPr>
          <w:lang w:val="en-US"/>
        </w:rPr>
      </w:pPr>
      <w:bookmarkStart w:id="3" w:name="_Toc515607012"/>
      <w:r w:rsidRPr="0029607D">
        <w:rPr>
          <w:lang w:val="en-US"/>
        </w:rPr>
        <w:t>Concept design</w:t>
      </w:r>
      <w:bookmarkEnd w:id="3"/>
      <w:r w:rsidRPr="0029607D">
        <w:rPr>
          <w:lang w:val="en-US"/>
        </w:rPr>
        <w:t xml:space="preserve"> </w:t>
      </w:r>
    </w:p>
    <w:p w14:paraId="5DCB211F" w14:textId="60648ACB" w:rsidR="00854F88" w:rsidRDefault="00543B15" w:rsidP="00854F88">
      <w:pPr>
        <w:spacing w:after="0" w:line="240" w:lineRule="auto"/>
        <w:jc w:val="both"/>
        <w:rPr>
          <w:rFonts w:ascii="Calibri" w:eastAsia="Calibri" w:hAnsi="Calibri" w:cs="Times New Roman"/>
          <w:iCs/>
          <w:lang w:val="en-US"/>
        </w:rPr>
      </w:pPr>
      <w:r>
        <w:rPr>
          <w:rFonts w:ascii="Calibri" w:eastAsia="Calibri" w:hAnsi="Calibri" w:cs="Times New Roman"/>
          <w:iCs/>
          <w:lang w:val="en-US"/>
        </w:rPr>
        <w:t xml:space="preserve">DAO IPCI is not a mitigation </w:t>
      </w:r>
      <w:r w:rsidR="00B82F43">
        <w:rPr>
          <w:rFonts w:ascii="Calibri" w:eastAsia="Calibri" w:hAnsi="Calibri" w:cs="Times New Roman"/>
          <w:iCs/>
          <w:lang w:val="en-US"/>
        </w:rPr>
        <w:t xml:space="preserve">program per se. It is a digital ecosystem, a platform addressed to any self-sufficient and responsible person actually willing to implement his programmatic </w:t>
      </w:r>
      <w:r w:rsidR="003966C5">
        <w:rPr>
          <w:rFonts w:ascii="Calibri" w:eastAsia="Calibri" w:hAnsi="Calibri" w:cs="Times New Roman"/>
          <w:iCs/>
          <w:lang w:val="en-US"/>
        </w:rPr>
        <w:t xml:space="preserve">market </w:t>
      </w:r>
      <w:r w:rsidR="00B82F43">
        <w:rPr>
          <w:rFonts w:ascii="Calibri" w:eastAsia="Calibri" w:hAnsi="Calibri" w:cs="Times New Roman"/>
          <w:iCs/>
          <w:lang w:val="en-US"/>
        </w:rPr>
        <w:t>ideas</w:t>
      </w:r>
      <w:r w:rsidR="003966C5">
        <w:rPr>
          <w:rFonts w:ascii="Calibri" w:eastAsia="Calibri" w:hAnsi="Calibri" w:cs="Times New Roman"/>
          <w:iCs/>
          <w:lang w:val="en-US"/>
        </w:rPr>
        <w:t xml:space="preserve"> on blockchain</w:t>
      </w:r>
      <w:r w:rsidR="00B82F43">
        <w:rPr>
          <w:rFonts w:ascii="Calibri" w:eastAsia="Calibri" w:hAnsi="Calibri" w:cs="Times New Roman"/>
          <w:iCs/>
          <w:lang w:val="en-US"/>
        </w:rPr>
        <w:t xml:space="preserve">. </w:t>
      </w:r>
    </w:p>
    <w:p w14:paraId="164F4332" w14:textId="77777777" w:rsidR="00543B15" w:rsidRDefault="00543B15" w:rsidP="00854F88">
      <w:pPr>
        <w:spacing w:after="0" w:line="240" w:lineRule="auto"/>
        <w:jc w:val="both"/>
        <w:rPr>
          <w:rFonts w:ascii="Calibri" w:eastAsia="Calibri" w:hAnsi="Calibri" w:cs="Times New Roman"/>
          <w:iCs/>
          <w:lang w:val="en-US"/>
        </w:rPr>
      </w:pPr>
    </w:p>
    <w:p w14:paraId="620CA773" w14:textId="65546933" w:rsidR="00854F88" w:rsidRDefault="00854F88" w:rsidP="00854F88">
      <w:pPr>
        <w:spacing w:after="0" w:line="240" w:lineRule="auto"/>
        <w:jc w:val="both"/>
        <w:rPr>
          <w:rFonts w:ascii="Calibri" w:eastAsia="Calibri" w:hAnsi="Calibri" w:cs="Times New Roman"/>
          <w:iCs/>
          <w:lang w:val="en-US"/>
        </w:rPr>
      </w:pPr>
      <w:proofErr w:type="gramStart"/>
      <w:r w:rsidRPr="00691F32">
        <w:rPr>
          <w:rFonts w:ascii="Calibri" w:eastAsia="Calibri" w:hAnsi="Calibri" w:cs="Times New Roman"/>
          <w:iCs/>
          <w:lang w:val="en-US"/>
        </w:rPr>
        <w:t xml:space="preserve">DAO IPCI design objective is to provide any person, program, corporation, association or jurisdiction, with common space fabric, common tools and ecosystem that is universal, reliable, transparent and that allows diverse stakeholders, including businesses and individuals to: register their quantified impacts and emissions reductions pledges; invest in mitigation projects; offset </w:t>
      </w:r>
      <w:r w:rsidR="00543B15">
        <w:rPr>
          <w:rFonts w:ascii="Calibri" w:eastAsia="Calibri" w:hAnsi="Calibri" w:cs="Times New Roman"/>
          <w:iCs/>
          <w:lang w:val="en-US"/>
        </w:rPr>
        <w:t>environmental</w:t>
      </w:r>
      <w:r w:rsidRPr="00691F32">
        <w:rPr>
          <w:rFonts w:ascii="Calibri" w:eastAsia="Calibri" w:hAnsi="Calibri" w:cs="Times New Roman"/>
          <w:iCs/>
          <w:lang w:val="en-US"/>
        </w:rPr>
        <w:t xml:space="preserve"> footprints; acquire and trade mitigation instruments; join existing or launch new programs.</w:t>
      </w:r>
      <w:proofErr w:type="gramEnd"/>
    </w:p>
    <w:p w14:paraId="00E56BA6" w14:textId="77777777" w:rsidR="002E387D" w:rsidRPr="002E387D" w:rsidRDefault="002E387D" w:rsidP="002E387D">
      <w:pPr>
        <w:spacing w:after="0" w:line="240" w:lineRule="auto"/>
        <w:jc w:val="both"/>
        <w:rPr>
          <w:rFonts w:ascii="Calibri" w:eastAsia="Calibri" w:hAnsi="Calibri" w:cs="Times New Roman"/>
          <w:bCs/>
          <w:lang w:val="en-US"/>
        </w:rPr>
      </w:pPr>
    </w:p>
    <w:p w14:paraId="7C5F65F7" w14:textId="52EAA400" w:rsidR="002E387D" w:rsidRPr="002E387D" w:rsidRDefault="00C514E7" w:rsidP="002E387D">
      <w:pPr>
        <w:spacing w:after="0" w:line="240" w:lineRule="auto"/>
        <w:jc w:val="both"/>
        <w:rPr>
          <w:rFonts w:ascii="Calibri" w:eastAsia="Calibri" w:hAnsi="Calibri" w:cs="Times New Roman"/>
          <w:bCs/>
          <w:lang w:val="en-US"/>
        </w:rPr>
      </w:pPr>
      <w:r>
        <w:rPr>
          <w:rFonts w:ascii="Calibri" w:eastAsia="Calibri" w:hAnsi="Calibri" w:cs="Times New Roman"/>
          <w:bCs/>
          <w:lang w:val="en-US"/>
        </w:rPr>
        <w:t>DAO IPCI</w:t>
      </w:r>
      <w:r w:rsidR="002E387D" w:rsidRPr="002E387D">
        <w:rPr>
          <w:rFonts w:ascii="Calibri" w:eastAsia="Calibri" w:hAnsi="Calibri" w:cs="Times New Roman"/>
          <w:bCs/>
          <w:lang w:val="en-US"/>
        </w:rPr>
        <w:t xml:space="preserve"> is smart contracts-based digital environment developed to minimize transaction costs, to make issuance and transfer of mitigation units, including internationally transferred mitigation outcomes, highly reliable, transparent and centralized manipulations-proof.</w:t>
      </w:r>
    </w:p>
    <w:p w14:paraId="72D7AA71" w14:textId="77777777" w:rsidR="002E387D" w:rsidRPr="002E387D" w:rsidRDefault="002E387D" w:rsidP="002E387D">
      <w:pPr>
        <w:spacing w:after="0" w:line="240" w:lineRule="auto"/>
        <w:jc w:val="both"/>
        <w:rPr>
          <w:rFonts w:ascii="Calibri" w:eastAsia="Calibri" w:hAnsi="Calibri" w:cs="Times New Roman"/>
          <w:bCs/>
          <w:lang w:val="en-US"/>
        </w:rPr>
      </w:pPr>
    </w:p>
    <w:p w14:paraId="56B2A437" w14:textId="77777777" w:rsidR="002E387D" w:rsidRDefault="002E387D" w:rsidP="002E387D">
      <w:pPr>
        <w:spacing w:after="0" w:line="240" w:lineRule="auto"/>
        <w:jc w:val="both"/>
        <w:rPr>
          <w:rFonts w:ascii="Calibri" w:eastAsia="Calibri" w:hAnsi="Calibri" w:cs="Times New Roman"/>
          <w:bCs/>
          <w:lang w:val="en-US"/>
        </w:rPr>
      </w:pPr>
      <w:r w:rsidRPr="002E387D">
        <w:rPr>
          <w:rFonts w:ascii="Calibri" w:eastAsia="Calibri" w:hAnsi="Calibri" w:cs="Times New Roman"/>
          <w:bCs/>
          <w:lang w:val="en-US"/>
        </w:rPr>
        <w:t>Balance of self-sufficiency</w:t>
      </w:r>
      <w:r w:rsidR="004D0251">
        <w:rPr>
          <w:rFonts w:ascii="Calibri" w:eastAsia="Calibri" w:hAnsi="Calibri" w:cs="Times New Roman"/>
          <w:bCs/>
          <w:lang w:val="en-US"/>
        </w:rPr>
        <w:t>, decentralization</w:t>
      </w:r>
      <w:r w:rsidRPr="002E387D">
        <w:rPr>
          <w:rFonts w:ascii="Calibri" w:eastAsia="Calibri" w:hAnsi="Calibri" w:cs="Times New Roman"/>
          <w:bCs/>
          <w:lang w:val="en-US"/>
        </w:rPr>
        <w:t xml:space="preserve"> and environmental integrity of the ecosystem is an intrinsic principle of critical importance.</w:t>
      </w:r>
    </w:p>
    <w:p w14:paraId="2265F9EF" w14:textId="77777777" w:rsidR="00691F32" w:rsidRPr="002E387D" w:rsidRDefault="00691F32" w:rsidP="002E387D">
      <w:pPr>
        <w:spacing w:after="0" w:line="240" w:lineRule="auto"/>
        <w:jc w:val="both"/>
        <w:rPr>
          <w:rFonts w:ascii="Calibri" w:eastAsia="Calibri" w:hAnsi="Calibri" w:cs="Times New Roman"/>
          <w:bCs/>
          <w:lang w:val="en-US"/>
        </w:rPr>
      </w:pPr>
    </w:p>
    <w:p w14:paraId="0C74AB9F" w14:textId="77777777" w:rsidR="00691F32" w:rsidRDefault="00691F32" w:rsidP="00691F32">
      <w:pPr>
        <w:spacing w:after="0" w:line="240" w:lineRule="auto"/>
        <w:jc w:val="both"/>
        <w:rPr>
          <w:rFonts w:ascii="Calibri" w:eastAsia="Calibri" w:hAnsi="Calibri" w:cs="Times New Roman"/>
          <w:lang w:val="en-US"/>
        </w:rPr>
      </w:pPr>
      <w:r w:rsidRPr="00691F32">
        <w:rPr>
          <w:rFonts w:ascii="Calibri" w:eastAsia="Calibri" w:hAnsi="Calibri" w:cs="Times New Roman"/>
          <w:lang w:val="en-US"/>
        </w:rPr>
        <w:t>DAO IPCI Minimum Viable Product is free, open-sourced, i.e. can be used and improved by anyone without restrictions or fees, and provides for mitigation of collateral damage by means of offsetting (compensation) by mitigation instruments and transparent accounting of mitigation activities.</w:t>
      </w:r>
    </w:p>
    <w:p w14:paraId="3D321373" w14:textId="77777777" w:rsidR="00691F32" w:rsidRPr="00691F32" w:rsidRDefault="00691F32" w:rsidP="00691F32">
      <w:pPr>
        <w:spacing w:after="0" w:line="240" w:lineRule="auto"/>
        <w:jc w:val="both"/>
        <w:rPr>
          <w:rFonts w:ascii="Calibri" w:eastAsia="Calibri" w:hAnsi="Calibri" w:cs="Times New Roman"/>
          <w:lang w:val="en-US"/>
        </w:rPr>
      </w:pPr>
    </w:p>
    <w:p w14:paraId="72E8A470" w14:textId="20D0136A" w:rsidR="00691F32" w:rsidRDefault="00691F32" w:rsidP="00691F32">
      <w:pPr>
        <w:spacing w:after="0" w:line="240" w:lineRule="auto"/>
        <w:jc w:val="both"/>
        <w:rPr>
          <w:rFonts w:ascii="Calibri" w:eastAsia="Calibri" w:hAnsi="Calibri" w:cs="Times New Roman"/>
          <w:lang w:val="en-US"/>
        </w:rPr>
      </w:pPr>
      <w:r w:rsidRPr="00691F32">
        <w:rPr>
          <w:rFonts w:ascii="Calibri" w:eastAsia="Calibri" w:hAnsi="Calibri" w:cs="Times New Roman"/>
          <w:lang w:val="en-US"/>
        </w:rPr>
        <w:t xml:space="preserve">The first version of DAO IPCI </w:t>
      </w:r>
      <w:r w:rsidR="00543B15">
        <w:rPr>
          <w:rFonts w:ascii="Calibri" w:eastAsia="Calibri" w:hAnsi="Calibri" w:cs="Times New Roman"/>
          <w:lang w:val="en-US"/>
        </w:rPr>
        <w:t xml:space="preserve">inter alia </w:t>
      </w:r>
      <w:r w:rsidRPr="00691F32">
        <w:rPr>
          <w:rFonts w:ascii="Calibri" w:eastAsia="Calibri" w:hAnsi="Calibri" w:cs="Times New Roman"/>
          <w:lang w:val="en-US"/>
        </w:rPr>
        <w:t>allows participants</w:t>
      </w:r>
      <w:r w:rsidR="007B31B2">
        <w:rPr>
          <w:rFonts w:ascii="Calibri" w:eastAsia="Calibri" w:hAnsi="Calibri" w:cs="Times New Roman"/>
          <w:lang w:val="en-US"/>
        </w:rPr>
        <w:t xml:space="preserve"> to participate</w:t>
      </w:r>
      <w:r w:rsidRPr="00691F32">
        <w:rPr>
          <w:rFonts w:ascii="Calibri" w:eastAsia="Calibri" w:hAnsi="Calibri" w:cs="Times New Roman"/>
          <w:lang w:val="en-US"/>
        </w:rPr>
        <w:t xml:space="preserve"> in greenhouse gas (GHG) credit-based or quota-based emissions trading schemes to account for claims made towards these targets. </w:t>
      </w:r>
    </w:p>
    <w:p w14:paraId="1E907F2D" w14:textId="77777777" w:rsidR="00691F32" w:rsidRPr="00691F32" w:rsidRDefault="00691F32" w:rsidP="00691F32">
      <w:pPr>
        <w:spacing w:after="0" w:line="240" w:lineRule="auto"/>
        <w:jc w:val="both"/>
        <w:rPr>
          <w:rFonts w:ascii="Calibri" w:eastAsia="Calibri" w:hAnsi="Calibri" w:cs="Times New Roman"/>
          <w:bCs/>
          <w:lang w:val="en-US"/>
        </w:rPr>
      </w:pPr>
    </w:p>
    <w:p w14:paraId="67BD5DAA" w14:textId="77777777" w:rsidR="00691F32" w:rsidRDefault="00691F32" w:rsidP="00691F32">
      <w:pPr>
        <w:spacing w:after="0" w:line="240" w:lineRule="auto"/>
        <w:jc w:val="both"/>
        <w:rPr>
          <w:rFonts w:ascii="Calibri" w:eastAsia="Calibri" w:hAnsi="Calibri" w:cs="Times New Roman"/>
          <w:bCs/>
          <w:lang w:val="en-US"/>
        </w:rPr>
      </w:pPr>
      <w:r w:rsidRPr="00691F32">
        <w:rPr>
          <w:rFonts w:ascii="Calibri" w:eastAsia="Calibri" w:hAnsi="Calibri" w:cs="Times New Roman"/>
          <w:bCs/>
          <w:lang w:val="en-US"/>
        </w:rPr>
        <w:t xml:space="preserve">The protocols designed for article 6 of the Paris Agreement and for CORSIA specifically exclude possibility for double counting of mitigation outcomes for private use and for performance under NDCs. </w:t>
      </w:r>
    </w:p>
    <w:p w14:paraId="42D46D57" w14:textId="77777777" w:rsidR="00691F32" w:rsidRPr="00691F32" w:rsidRDefault="00691F32" w:rsidP="00691F32">
      <w:pPr>
        <w:spacing w:after="0" w:line="240" w:lineRule="auto"/>
        <w:jc w:val="both"/>
        <w:rPr>
          <w:rFonts w:ascii="Calibri" w:eastAsia="Calibri" w:hAnsi="Calibri" w:cs="Times New Roman"/>
          <w:bCs/>
          <w:lang w:val="en-US"/>
        </w:rPr>
      </w:pPr>
    </w:p>
    <w:p w14:paraId="66BF346C" w14:textId="77777777" w:rsidR="00691F32" w:rsidRDefault="00691F32" w:rsidP="00691F32">
      <w:pPr>
        <w:spacing w:after="0" w:line="240" w:lineRule="auto"/>
        <w:jc w:val="both"/>
        <w:rPr>
          <w:rFonts w:ascii="Calibri" w:eastAsia="Calibri" w:hAnsi="Calibri" w:cs="Times New Roman"/>
          <w:lang w:val="en-US"/>
        </w:rPr>
      </w:pPr>
      <w:r w:rsidRPr="00691F32">
        <w:rPr>
          <w:rFonts w:ascii="Calibri" w:eastAsia="Calibri" w:hAnsi="Calibri" w:cs="Times New Roman"/>
          <w:lang w:val="en-US"/>
        </w:rPr>
        <w:t xml:space="preserve">There are no technical restrictions as to who may launch an autonomous mitigation program in DAO IPCI. Existing mandatory or voluntary, large and small programs of diverse scopes of activities and jurisdictions, as well as businesses, NGOs and even individuals may create independent decentralized autonomous organizations (DAO) to implement specific programs and projects and perform transactions in DAO IPCI.  Independent mitigation programs within DAO IPCI may interlace and form a web of DAOs that share selected modules and protocols with their peers. </w:t>
      </w:r>
    </w:p>
    <w:p w14:paraId="6A7383A3" w14:textId="77777777" w:rsidR="00691F32" w:rsidRPr="00691F32" w:rsidRDefault="00691F32" w:rsidP="00691F32">
      <w:pPr>
        <w:spacing w:after="0" w:line="240" w:lineRule="auto"/>
        <w:jc w:val="both"/>
        <w:rPr>
          <w:rFonts w:ascii="Calibri" w:eastAsia="Calibri" w:hAnsi="Calibri" w:cs="Times New Roman"/>
          <w:lang w:val="en-US"/>
        </w:rPr>
      </w:pPr>
    </w:p>
    <w:p w14:paraId="504B0221" w14:textId="1B2510CA" w:rsidR="00691F32" w:rsidRDefault="00691F32" w:rsidP="00691F32">
      <w:pPr>
        <w:spacing w:after="0" w:line="240" w:lineRule="auto"/>
        <w:jc w:val="both"/>
        <w:rPr>
          <w:rFonts w:ascii="Calibri" w:eastAsia="Calibri" w:hAnsi="Calibri" w:cs="Times New Roman"/>
          <w:lang w:val="en-US"/>
        </w:rPr>
      </w:pPr>
      <w:r w:rsidRPr="00691F32">
        <w:rPr>
          <w:rFonts w:ascii="Calibri" w:eastAsia="Calibri" w:hAnsi="Calibri" w:cs="Times New Roman"/>
          <w:lang w:val="en-US"/>
        </w:rPr>
        <w:t xml:space="preserve">Diverse mitigation instruments (environmental units) </w:t>
      </w:r>
      <w:proofErr w:type="gramStart"/>
      <w:r w:rsidRPr="00691F32">
        <w:rPr>
          <w:rFonts w:ascii="Calibri" w:eastAsia="Calibri" w:hAnsi="Calibri" w:cs="Times New Roman"/>
          <w:lang w:val="en-US"/>
        </w:rPr>
        <w:t>are represented</w:t>
      </w:r>
      <w:proofErr w:type="gramEnd"/>
      <w:r w:rsidRPr="00691F32">
        <w:rPr>
          <w:rFonts w:ascii="Calibri" w:eastAsia="Calibri" w:hAnsi="Calibri" w:cs="Times New Roman"/>
          <w:lang w:val="en-US"/>
        </w:rPr>
        <w:t xml:space="preserve"> by specific tokens issued via coordinated actions of the Operator</w:t>
      </w:r>
      <w:r w:rsidR="00977486">
        <w:rPr>
          <w:rFonts w:ascii="Calibri" w:eastAsia="Calibri" w:hAnsi="Calibri" w:cs="Times New Roman"/>
          <w:lang w:val="en-US"/>
        </w:rPr>
        <w:t xml:space="preserve"> of the DAO</w:t>
      </w:r>
      <w:r w:rsidRPr="00691F32">
        <w:rPr>
          <w:rFonts w:ascii="Calibri" w:eastAsia="Calibri" w:hAnsi="Calibri" w:cs="Times New Roman"/>
          <w:lang w:val="en-US"/>
        </w:rPr>
        <w:t xml:space="preserve">, the Issuer and the Independent Entity. Only if these actions are in coordination and in compliance with the logic of the open-source smart contracts </w:t>
      </w:r>
      <w:proofErr w:type="gramStart"/>
      <w:r w:rsidRPr="00691F32">
        <w:rPr>
          <w:rFonts w:ascii="Calibri" w:eastAsia="Calibri" w:hAnsi="Calibri" w:cs="Times New Roman"/>
          <w:lang w:val="en-US"/>
        </w:rPr>
        <w:t>may the tokens be issued</w:t>
      </w:r>
      <w:proofErr w:type="gramEnd"/>
      <w:r w:rsidRPr="00691F32">
        <w:rPr>
          <w:rFonts w:ascii="Calibri" w:eastAsia="Calibri" w:hAnsi="Calibri" w:cs="Times New Roman"/>
          <w:lang w:val="en-US"/>
        </w:rPr>
        <w:t xml:space="preserve"> to the possession of the Issuer.</w:t>
      </w:r>
      <w:r w:rsidR="00977486">
        <w:rPr>
          <w:rStyle w:val="af5"/>
          <w:rFonts w:ascii="Calibri" w:eastAsia="Calibri" w:hAnsi="Calibri" w:cs="Times New Roman"/>
          <w:lang w:val="en-US"/>
        </w:rPr>
        <w:footnoteReference w:id="17"/>
      </w:r>
      <w:r w:rsidRPr="00691F32">
        <w:rPr>
          <w:rFonts w:ascii="Calibri" w:eastAsia="Calibri" w:hAnsi="Calibri" w:cs="Times New Roman"/>
          <w:lang w:val="en-US"/>
        </w:rPr>
        <w:t xml:space="preserve"> </w:t>
      </w:r>
    </w:p>
    <w:p w14:paraId="55B87613" w14:textId="77777777" w:rsidR="00A822EB" w:rsidRPr="00691F32" w:rsidRDefault="00A822EB" w:rsidP="00691F32">
      <w:pPr>
        <w:spacing w:after="0" w:line="240" w:lineRule="auto"/>
        <w:jc w:val="both"/>
        <w:rPr>
          <w:rFonts w:ascii="Calibri" w:eastAsia="Calibri" w:hAnsi="Calibri" w:cs="Times New Roman"/>
          <w:lang w:val="en-US"/>
        </w:rPr>
      </w:pPr>
    </w:p>
    <w:p w14:paraId="64A37E2D" w14:textId="77777777" w:rsidR="00543B15" w:rsidRDefault="00543B15" w:rsidP="00A822EB">
      <w:pPr>
        <w:spacing w:after="0" w:line="240" w:lineRule="auto"/>
        <w:jc w:val="both"/>
        <w:rPr>
          <w:rFonts w:ascii="Calibri" w:eastAsia="Calibri" w:hAnsi="Calibri" w:cs="Times New Roman"/>
          <w:lang w:val="en-US"/>
        </w:rPr>
      </w:pPr>
    </w:p>
    <w:p w14:paraId="072740CF" w14:textId="6F2C72A4" w:rsidR="00A822EB" w:rsidRPr="00A822EB" w:rsidRDefault="00A822EB" w:rsidP="00A822EB">
      <w:pPr>
        <w:spacing w:after="0" w:line="240" w:lineRule="auto"/>
        <w:jc w:val="both"/>
        <w:rPr>
          <w:rFonts w:ascii="Calibri" w:eastAsia="Calibri" w:hAnsi="Calibri" w:cs="Times New Roman"/>
          <w:lang w:val="en-US"/>
        </w:rPr>
      </w:pPr>
      <w:r w:rsidRPr="00A822EB">
        <w:rPr>
          <w:rFonts w:ascii="Calibri" w:eastAsia="Calibri" w:hAnsi="Calibri" w:cs="Times New Roman"/>
          <w:lang w:val="en-US"/>
        </w:rPr>
        <w:lastRenderedPageBreak/>
        <w:t>Independent Entities play a crucial arbitration role in the procedure. To reduce transaction costs and convert arbitration to truly decentralized smart contracts based model, IoT smart devices and Network verification has to be introduced and developed to substitute gradually “manual verification”.</w:t>
      </w:r>
      <w:r w:rsidR="00543B15">
        <w:rPr>
          <w:rStyle w:val="af5"/>
          <w:rFonts w:ascii="Calibri" w:eastAsia="Calibri" w:hAnsi="Calibri" w:cs="Times New Roman"/>
          <w:lang w:val="en-US"/>
        </w:rPr>
        <w:footnoteReference w:id="18"/>
      </w:r>
    </w:p>
    <w:p w14:paraId="0918D12D" w14:textId="77777777" w:rsidR="0053587F" w:rsidRDefault="0053587F" w:rsidP="00A822EB">
      <w:pPr>
        <w:spacing w:after="0" w:line="240" w:lineRule="auto"/>
        <w:jc w:val="both"/>
        <w:rPr>
          <w:rFonts w:ascii="Calibri" w:eastAsia="Calibri" w:hAnsi="Calibri" w:cs="Times New Roman"/>
          <w:i/>
          <w:lang w:val="en-US"/>
        </w:rPr>
      </w:pPr>
    </w:p>
    <w:p w14:paraId="4D02B232" w14:textId="44A32064" w:rsidR="00A822EB" w:rsidRPr="00A822EB" w:rsidRDefault="00A822EB" w:rsidP="00A822EB">
      <w:pPr>
        <w:spacing w:after="0" w:line="240" w:lineRule="auto"/>
        <w:rPr>
          <w:rFonts w:ascii="Calibri" w:eastAsia="Calibri" w:hAnsi="Calibri" w:cs="Times New Roman"/>
          <w:lang w:val="en-US"/>
        </w:rPr>
      </w:pPr>
      <w:r w:rsidRPr="00A822EB">
        <w:rPr>
          <w:rFonts w:ascii="Calibri" w:eastAsia="Calibri" w:hAnsi="Calibri" w:cs="Times New Roman"/>
          <w:b/>
          <w:i/>
          <w:lang w:val="en-US"/>
        </w:rPr>
        <w:t xml:space="preserve">Figure </w:t>
      </w:r>
      <w:proofErr w:type="gramStart"/>
      <w:r w:rsidR="00AB0968">
        <w:rPr>
          <w:rFonts w:ascii="Calibri" w:eastAsia="Calibri" w:hAnsi="Calibri" w:cs="Times New Roman"/>
          <w:b/>
          <w:i/>
          <w:lang w:val="en-US"/>
        </w:rPr>
        <w:t>3</w:t>
      </w:r>
      <w:proofErr w:type="gramEnd"/>
      <w:r w:rsidRPr="00A822EB">
        <w:rPr>
          <w:rFonts w:ascii="Calibri" w:eastAsia="Calibri" w:hAnsi="Calibri" w:cs="Times New Roman"/>
          <w:b/>
          <w:i/>
          <w:lang w:val="en-US"/>
        </w:rPr>
        <w:t xml:space="preserve"> – IoT smart devices based verification of renewable energy based credits (Prototype)</w:t>
      </w:r>
      <w:r w:rsidRPr="00A822EB">
        <w:rPr>
          <w:rFonts w:ascii="Calibri" w:eastAsia="Calibri" w:hAnsi="Calibri" w:cs="Times New Roman"/>
          <w:b/>
          <w:i/>
          <w:noProof/>
          <w:lang w:val="en-US"/>
        </w:rPr>
        <w:drawing>
          <wp:inline distT="0" distB="0" distL="0" distR="0" wp14:anchorId="39C84743" wp14:editId="0B0BF469">
            <wp:extent cx="5929312" cy="42576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560" cy="4258571"/>
                    </a:xfrm>
                    <a:prstGeom prst="rect">
                      <a:avLst/>
                    </a:prstGeom>
                    <a:noFill/>
                    <a:ln>
                      <a:noFill/>
                    </a:ln>
                  </pic:spPr>
                </pic:pic>
              </a:graphicData>
            </a:graphic>
          </wp:inline>
        </w:drawing>
      </w:r>
      <w:r w:rsidRPr="00A822EB">
        <w:rPr>
          <w:rFonts w:ascii="Calibri" w:eastAsia="Calibri" w:hAnsi="Calibri" w:cs="Times New Roman"/>
          <w:b/>
          <w:i/>
          <w:noProof/>
          <w:lang w:val="en-US"/>
        </w:rPr>
        <w:drawing>
          <wp:inline distT="0" distB="0" distL="0" distR="0" wp14:anchorId="5362ADC1" wp14:editId="1279374D">
            <wp:extent cx="6153150" cy="2514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61467" cy="2517999"/>
                    </a:xfrm>
                    <a:prstGeom prst="rect">
                      <a:avLst/>
                    </a:prstGeom>
                    <a:noFill/>
                    <a:ln>
                      <a:noFill/>
                    </a:ln>
                  </pic:spPr>
                </pic:pic>
              </a:graphicData>
            </a:graphic>
          </wp:inline>
        </w:drawing>
      </w:r>
    </w:p>
    <w:p w14:paraId="4C8B30CB" w14:textId="2DD04A18" w:rsidR="004C03B8" w:rsidRDefault="004C03B8" w:rsidP="00A822EB">
      <w:pPr>
        <w:spacing w:after="0" w:line="240" w:lineRule="auto"/>
        <w:jc w:val="both"/>
        <w:rPr>
          <w:rFonts w:ascii="Calibri" w:eastAsia="Calibri" w:hAnsi="Calibri" w:cs="Times New Roman"/>
          <w:lang w:val="en-US"/>
        </w:rPr>
      </w:pPr>
      <w:r>
        <w:rPr>
          <w:rFonts w:ascii="Calibri" w:eastAsia="Calibri" w:hAnsi="Calibri" w:cs="Times New Roman"/>
          <w:lang w:val="en-US"/>
        </w:rPr>
        <w:t xml:space="preserve">Similar scheme </w:t>
      </w:r>
      <w:proofErr w:type="gramStart"/>
      <w:r w:rsidR="0060679D">
        <w:rPr>
          <w:rFonts w:ascii="Calibri" w:eastAsia="Calibri" w:hAnsi="Calibri" w:cs="Times New Roman"/>
          <w:lang w:val="en-US"/>
        </w:rPr>
        <w:t>would</w:t>
      </w:r>
      <w:r>
        <w:rPr>
          <w:rFonts w:ascii="Calibri" w:eastAsia="Calibri" w:hAnsi="Calibri" w:cs="Times New Roman"/>
          <w:lang w:val="en-US"/>
        </w:rPr>
        <w:t xml:space="preserve"> be used</w:t>
      </w:r>
      <w:proofErr w:type="gramEnd"/>
      <w:r>
        <w:rPr>
          <w:rFonts w:ascii="Calibri" w:eastAsia="Calibri" w:hAnsi="Calibri" w:cs="Times New Roman"/>
          <w:lang w:val="en-US"/>
        </w:rPr>
        <w:t xml:space="preserve"> for issuance of tradable tokens representing renewable energy generation</w:t>
      </w:r>
      <w:r w:rsidR="0060679D">
        <w:rPr>
          <w:rFonts w:ascii="Calibri" w:eastAsia="Calibri" w:hAnsi="Calibri" w:cs="Times New Roman"/>
          <w:lang w:val="en-US"/>
        </w:rPr>
        <w:t xml:space="preserve"> or consumption</w:t>
      </w:r>
      <w:r>
        <w:rPr>
          <w:rFonts w:ascii="Calibri" w:eastAsia="Calibri" w:hAnsi="Calibri" w:cs="Times New Roman"/>
          <w:lang w:val="en-US"/>
        </w:rPr>
        <w:t xml:space="preserve">. Once we assume that renewable energy generation brings mitigation benefits and </w:t>
      </w:r>
      <w:proofErr w:type="gramStart"/>
      <w:r>
        <w:rPr>
          <w:rFonts w:ascii="Calibri" w:eastAsia="Calibri" w:hAnsi="Calibri" w:cs="Times New Roman"/>
          <w:lang w:val="en-US"/>
        </w:rPr>
        <w:t xml:space="preserve">can </w:t>
      </w:r>
      <w:r>
        <w:rPr>
          <w:rFonts w:ascii="Calibri" w:eastAsia="Calibri" w:hAnsi="Calibri" w:cs="Times New Roman"/>
          <w:lang w:val="en-US"/>
        </w:rPr>
        <w:lastRenderedPageBreak/>
        <w:t>be quantified</w:t>
      </w:r>
      <w:proofErr w:type="gramEnd"/>
      <w:r>
        <w:rPr>
          <w:rFonts w:ascii="Calibri" w:eastAsia="Calibri" w:hAnsi="Calibri" w:cs="Times New Roman"/>
          <w:lang w:val="en-US"/>
        </w:rPr>
        <w:t xml:space="preserve"> in </w:t>
      </w:r>
      <w:r w:rsidR="002C4945">
        <w:rPr>
          <w:rFonts w:ascii="Calibri" w:eastAsia="Calibri" w:hAnsi="Calibri" w:cs="Times New Roman"/>
          <w:lang w:val="en-US"/>
        </w:rPr>
        <w:t>W</w:t>
      </w:r>
      <w:r>
        <w:rPr>
          <w:rFonts w:ascii="Calibri" w:eastAsia="Calibri" w:hAnsi="Calibri" w:cs="Times New Roman"/>
          <w:lang w:val="en-US"/>
        </w:rPr>
        <w:t>atthours</w:t>
      </w:r>
      <w:r w:rsidR="002C4945">
        <w:rPr>
          <w:rFonts w:ascii="Calibri" w:eastAsia="Calibri" w:hAnsi="Calibri" w:cs="Times New Roman"/>
          <w:lang w:val="en-US"/>
        </w:rPr>
        <w:t>,</w:t>
      </w:r>
      <w:r>
        <w:rPr>
          <w:rFonts w:ascii="Calibri" w:eastAsia="Calibri" w:hAnsi="Calibri" w:cs="Times New Roman"/>
          <w:lang w:val="en-US"/>
        </w:rPr>
        <w:t xml:space="preserve"> corresponding mitigation instrument</w:t>
      </w:r>
      <w:r w:rsidR="0060679D">
        <w:rPr>
          <w:rFonts w:ascii="Calibri" w:eastAsia="Calibri" w:hAnsi="Calibri" w:cs="Times New Roman"/>
          <w:lang w:val="en-US"/>
        </w:rPr>
        <w:t xml:space="preserve"> (token)</w:t>
      </w:r>
      <w:r>
        <w:rPr>
          <w:rFonts w:ascii="Calibri" w:eastAsia="Calibri" w:hAnsi="Calibri" w:cs="Times New Roman"/>
          <w:lang w:val="en-US"/>
        </w:rPr>
        <w:t xml:space="preserve"> would represent positive </w:t>
      </w:r>
      <w:r w:rsidR="002C4945">
        <w:rPr>
          <w:rFonts w:ascii="Calibri" w:eastAsia="Calibri" w:hAnsi="Calibri" w:cs="Times New Roman"/>
          <w:lang w:val="en-US"/>
        </w:rPr>
        <w:t>externalities</w:t>
      </w:r>
      <w:r>
        <w:rPr>
          <w:rFonts w:ascii="Calibri" w:eastAsia="Calibri" w:hAnsi="Calibri" w:cs="Times New Roman"/>
          <w:lang w:val="en-US"/>
        </w:rPr>
        <w:t xml:space="preserve"> associated with generation of </w:t>
      </w:r>
      <w:r w:rsidR="002C4945">
        <w:rPr>
          <w:rFonts w:ascii="Calibri" w:eastAsia="Calibri" w:hAnsi="Calibri" w:cs="Times New Roman"/>
          <w:lang w:val="en-US"/>
        </w:rPr>
        <w:t>specific amount of energy by renewable sources.</w:t>
      </w:r>
      <w:r>
        <w:rPr>
          <w:rFonts w:ascii="Calibri" w:eastAsia="Calibri" w:hAnsi="Calibri" w:cs="Times New Roman"/>
          <w:lang w:val="en-US"/>
        </w:rPr>
        <w:t xml:space="preserve"> </w:t>
      </w:r>
    </w:p>
    <w:p w14:paraId="12DBC8FF" w14:textId="77777777" w:rsidR="004C03B8" w:rsidRDefault="004C03B8" w:rsidP="00A822EB">
      <w:pPr>
        <w:spacing w:after="0" w:line="240" w:lineRule="auto"/>
        <w:jc w:val="both"/>
        <w:rPr>
          <w:rFonts w:ascii="Calibri" w:eastAsia="Calibri" w:hAnsi="Calibri" w:cs="Times New Roman"/>
          <w:lang w:val="en-US"/>
        </w:rPr>
      </w:pPr>
    </w:p>
    <w:p w14:paraId="155A617F" w14:textId="258C01D0" w:rsidR="00067B4D" w:rsidRPr="00067B4D" w:rsidRDefault="00067B4D" w:rsidP="00067B4D">
      <w:pPr>
        <w:spacing w:after="0" w:line="240" w:lineRule="auto"/>
        <w:jc w:val="both"/>
        <w:rPr>
          <w:rFonts w:ascii="Calibri" w:eastAsia="Calibri" w:hAnsi="Calibri" w:cs="Times New Roman"/>
          <w:lang w:val="en-US"/>
        </w:rPr>
      </w:pPr>
      <w:r w:rsidRPr="00067B4D">
        <w:rPr>
          <w:rFonts w:ascii="Calibri" w:eastAsia="Calibri" w:hAnsi="Calibri" w:cs="Times New Roman"/>
          <w:lang w:val="en-US"/>
        </w:rPr>
        <w:t>IoT devices and Artificial Intelligence and their economic interaction, ‘</w:t>
      </w:r>
      <w:proofErr w:type="spellStart"/>
      <w:r w:rsidRPr="00067B4D">
        <w:rPr>
          <w:rFonts w:ascii="Calibri" w:eastAsia="Calibri" w:hAnsi="Calibri" w:cs="Times New Roman"/>
          <w:lang w:val="en-US"/>
        </w:rPr>
        <w:t>Robonomics</w:t>
      </w:r>
      <w:proofErr w:type="spellEnd"/>
      <w:r w:rsidRPr="00067B4D">
        <w:rPr>
          <w:rFonts w:ascii="Calibri" w:eastAsia="Calibri" w:hAnsi="Calibri" w:cs="Times New Roman"/>
          <w:lang w:val="en-US"/>
        </w:rPr>
        <w:t>’, are the future.</w:t>
      </w:r>
      <w:r w:rsidRPr="00067B4D">
        <w:rPr>
          <w:rFonts w:ascii="Calibri" w:eastAsia="Calibri" w:hAnsi="Calibri" w:cs="Times New Roman"/>
          <w:vertAlign w:val="superscript"/>
          <w:lang w:val="en-US"/>
        </w:rPr>
        <w:footnoteReference w:id="19"/>
      </w:r>
      <w:r w:rsidRPr="00067B4D">
        <w:rPr>
          <w:rFonts w:ascii="Calibri" w:eastAsia="Calibri" w:hAnsi="Calibri" w:cs="Times New Roman"/>
          <w:lang w:val="en-US"/>
        </w:rPr>
        <w:t xml:space="preserve"> The interesting question is how exactly artificial devices would participate in human-to-machine deals, transactions, which need a common algorithm for market price. An algorithm based on ‘marginal cost’ concept </w:t>
      </w:r>
      <w:proofErr w:type="gramStart"/>
      <w:r w:rsidRPr="00067B4D">
        <w:rPr>
          <w:rFonts w:ascii="Calibri" w:eastAsia="Calibri" w:hAnsi="Calibri" w:cs="Times New Roman"/>
          <w:lang w:val="en-US"/>
        </w:rPr>
        <w:t>may be introduced</w:t>
      </w:r>
      <w:proofErr w:type="gramEnd"/>
      <w:r w:rsidRPr="00067B4D">
        <w:rPr>
          <w:rFonts w:ascii="Calibri" w:eastAsia="Calibri" w:hAnsi="Calibri" w:cs="Times New Roman"/>
          <w:lang w:val="en-US"/>
        </w:rPr>
        <w:t xml:space="preserve"> for machines, while human individuals would still and ever use subjective values to determine prices and costs.</w:t>
      </w:r>
      <w:r w:rsidR="00543B15">
        <w:rPr>
          <w:rFonts w:ascii="Calibri" w:eastAsia="Calibri" w:hAnsi="Calibri" w:cs="Times New Roman"/>
          <w:lang w:val="en-US"/>
        </w:rPr>
        <w:t xml:space="preserve"> DAO IPCI concept design implies the development of a system for human-to-machine and machine-to-machine interactions to work in a fully </w:t>
      </w:r>
      <w:r w:rsidR="00B82F43">
        <w:rPr>
          <w:rFonts w:ascii="Calibri" w:eastAsia="Calibri" w:hAnsi="Calibri" w:cs="Times New Roman"/>
          <w:lang w:val="en-US"/>
        </w:rPr>
        <w:t>self-executing</w:t>
      </w:r>
      <w:r w:rsidR="00543B15">
        <w:rPr>
          <w:rFonts w:ascii="Calibri" w:eastAsia="Calibri" w:hAnsi="Calibri" w:cs="Times New Roman"/>
          <w:lang w:val="en-US"/>
        </w:rPr>
        <w:t xml:space="preserve"> mode.</w:t>
      </w:r>
    </w:p>
    <w:p w14:paraId="234B286B" w14:textId="77777777" w:rsidR="00067B4D" w:rsidRDefault="00067B4D" w:rsidP="00A822EB">
      <w:pPr>
        <w:spacing w:after="0" w:line="240" w:lineRule="auto"/>
        <w:jc w:val="both"/>
        <w:rPr>
          <w:rFonts w:ascii="Calibri" w:eastAsia="Calibri" w:hAnsi="Calibri" w:cs="Times New Roman"/>
          <w:lang w:val="en-US"/>
        </w:rPr>
      </w:pPr>
    </w:p>
    <w:p w14:paraId="7B7B011A" w14:textId="08A34A42" w:rsidR="00A822EB" w:rsidRDefault="00A822EB" w:rsidP="00A822EB">
      <w:pPr>
        <w:spacing w:after="0" w:line="240" w:lineRule="auto"/>
        <w:jc w:val="both"/>
        <w:rPr>
          <w:rFonts w:ascii="Calibri" w:eastAsia="Calibri" w:hAnsi="Calibri" w:cs="Times New Roman"/>
          <w:lang w:val="en-US"/>
        </w:rPr>
      </w:pPr>
      <w:r w:rsidRPr="00A822EB">
        <w:rPr>
          <w:rFonts w:ascii="Calibri" w:eastAsia="Calibri" w:hAnsi="Calibri" w:cs="Times New Roman"/>
          <w:lang w:val="en-US"/>
        </w:rPr>
        <w:t xml:space="preserve">Regular demand for tokens representing mitigation instruments is on the side of the participants of commercial deals that cause collateral damage, manufacturers, suppliers and consumers, sellers and buyers of goods and services. However, </w:t>
      </w:r>
      <w:r w:rsidR="00543B15">
        <w:rPr>
          <w:rFonts w:ascii="Calibri" w:eastAsia="Calibri" w:hAnsi="Calibri" w:cs="Times New Roman"/>
          <w:lang w:val="en-US"/>
        </w:rPr>
        <w:t>monetary claims for damages of the third Party</w:t>
      </w:r>
      <w:r w:rsidRPr="00A822EB">
        <w:rPr>
          <w:rFonts w:ascii="Calibri" w:eastAsia="Calibri" w:hAnsi="Calibri" w:cs="Times New Roman"/>
          <w:lang w:val="en-US"/>
        </w:rPr>
        <w:t xml:space="preserve"> is also a potential source of demand, which can be satisfied either in monetary form or by ’in-kind’ offsetting. Existing smart contracts allow for initiating claim for damages, </w:t>
      </w:r>
      <w:r w:rsidR="00B82F43">
        <w:rPr>
          <w:rFonts w:ascii="Calibri" w:eastAsia="Calibri" w:hAnsi="Calibri" w:cs="Times New Roman"/>
          <w:lang w:val="en-US"/>
        </w:rPr>
        <w:t xml:space="preserve">and </w:t>
      </w:r>
      <w:r w:rsidRPr="00A822EB">
        <w:rPr>
          <w:rFonts w:ascii="Calibri" w:eastAsia="Calibri" w:hAnsi="Calibri" w:cs="Times New Roman"/>
          <w:lang w:val="en-US"/>
        </w:rPr>
        <w:t xml:space="preserve">supporting it by secondary claimants, </w:t>
      </w:r>
      <w:r w:rsidR="00B82F43" w:rsidRPr="00A822EB">
        <w:rPr>
          <w:rFonts w:ascii="Calibri" w:eastAsia="Calibri" w:hAnsi="Calibri" w:cs="Times New Roman"/>
          <w:lang w:val="en-US"/>
        </w:rPr>
        <w:t>reimbursement</w:t>
      </w:r>
      <w:r w:rsidRPr="00A822EB">
        <w:rPr>
          <w:rFonts w:ascii="Calibri" w:eastAsia="Calibri" w:hAnsi="Calibri" w:cs="Times New Roman"/>
          <w:lang w:val="en-US"/>
        </w:rPr>
        <w:t xml:space="preserve"> or offsetting the damage.</w:t>
      </w:r>
      <w:r w:rsidR="005F1E9E">
        <w:rPr>
          <w:rStyle w:val="af5"/>
          <w:rFonts w:ascii="Calibri" w:eastAsia="Calibri" w:hAnsi="Calibri" w:cs="Times New Roman"/>
          <w:lang w:val="en-US"/>
        </w:rPr>
        <w:footnoteReference w:id="20"/>
      </w:r>
    </w:p>
    <w:p w14:paraId="4FE1AD36" w14:textId="77777777" w:rsidR="00326D49" w:rsidRDefault="00326D49" w:rsidP="00A822EB">
      <w:pPr>
        <w:spacing w:after="0" w:line="240" w:lineRule="auto"/>
        <w:jc w:val="both"/>
        <w:rPr>
          <w:rFonts w:ascii="Calibri" w:eastAsia="Calibri" w:hAnsi="Calibri" w:cs="Times New Roman"/>
          <w:lang w:val="en-US"/>
        </w:rPr>
      </w:pPr>
    </w:p>
    <w:p w14:paraId="1FBECD15" w14:textId="50F08EFB" w:rsidR="00326D49" w:rsidRDefault="00326D49" w:rsidP="00A822EB">
      <w:pPr>
        <w:spacing w:after="0" w:line="240" w:lineRule="auto"/>
        <w:jc w:val="both"/>
        <w:rPr>
          <w:rFonts w:ascii="Calibri" w:eastAsia="Calibri" w:hAnsi="Calibri" w:cs="Times New Roman"/>
          <w:lang w:val="en-US"/>
        </w:rPr>
      </w:pPr>
      <w:r w:rsidRPr="00326D49">
        <w:rPr>
          <w:rFonts w:ascii="Calibri" w:eastAsia="Calibri" w:hAnsi="Calibri" w:cs="Times New Roman"/>
          <w:lang w:val="en-US"/>
        </w:rPr>
        <w:t xml:space="preserve">There are notorious examples of public protest in Russia against air pollution from landfills. Little </w:t>
      </w:r>
      <w:proofErr w:type="gramStart"/>
      <w:r w:rsidRPr="00326D49">
        <w:rPr>
          <w:rFonts w:ascii="Calibri" w:eastAsia="Calibri" w:hAnsi="Calibri" w:cs="Times New Roman"/>
          <w:lang w:val="en-US"/>
        </w:rPr>
        <w:t>can be done</w:t>
      </w:r>
      <w:proofErr w:type="gramEnd"/>
      <w:r w:rsidRPr="00326D49">
        <w:rPr>
          <w:rFonts w:ascii="Calibri" w:eastAsia="Calibri" w:hAnsi="Calibri" w:cs="Times New Roman"/>
          <w:lang w:val="en-US"/>
        </w:rPr>
        <w:t xml:space="preserve"> as all the permissions from the government are in place. Enlisting a claim against landfill owners or/and relevant authorities in DAO IPCI is an alternative peer-to-peer way to seek settlement. Primary individual claim secured by MITO deposit </w:t>
      </w:r>
      <w:proofErr w:type="gramStart"/>
      <w:r w:rsidRPr="00326D49">
        <w:rPr>
          <w:rFonts w:ascii="Calibri" w:eastAsia="Calibri" w:hAnsi="Calibri" w:cs="Times New Roman"/>
          <w:lang w:val="en-US"/>
        </w:rPr>
        <w:t>might be supported</w:t>
      </w:r>
      <w:proofErr w:type="gramEnd"/>
      <w:r w:rsidRPr="00326D49">
        <w:rPr>
          <w:rFonts w:ascii="Calibri" w:eastAsia="Calibri" w:hAnsi="Calibri" w:cs="Times New Roman"/>
          <w:lang w:val="en-US"/>
        </w:rPr>
        <w:t xml:space="preserve"> by secondary claims increasing the value of the claim. Furthermore, objective IoT devices may quantify and verify negative impact. The Respondent may choose to ignore the claim, reimburse damage by buying out “the claim tokens” or to compensate the damage with the verified results of mitigation measures if there are any.</w:t>
      </w:r>
    </w:p>
    <w:p w14:paraId="77DDE75B" w14:textId="77777777" w:rsidR="003358A8" w:rsidRPr="00A822EB" w:rsidRDefault="003358A8" w:rsidP="00A822EB">
      <w:pPr>
        <w:spacing w:after="0" w:line="240" w:lineRule="auto"/>
        <w:jc w:val="both"/>
        <w:rPr>
          <w:rFonts w:ascii="Calibri" w:eastAsia="Calibri" w:hAnsi="Calibri" w:cs="Times New Roman"/>
          <w:lang w:val="en-US"/>
        </w:rPr>
      </w:pPr>
    </w:p>
    <w:p w14:paraId="38E63396" w14:textId="48F89DAC" w:rsidR="00A822EB" w:rsidRPr="00A822EB" w:rsidRDefault="00AB0968" w:rsidP="00A822EB">
      <w:pPr>
        <w:spacing w:after="0" w:line="240" w:lineRule="auto"/>
        <w:rPr>
          <w:rFonts w:ascii="Calibri" w:eastAsia="Calibri" w:hAnsi="Calibri" w:cs="Times New Roman"/>
          <w:lang w:val="en-US"/>
        </w:rPr>
      </w:pPr>
      <w:r>
        <w:rPr>
          <w:rFonts w:ascii="Calibri" w:eastAsia="Calibri" w:hAnsi="Calibri" w:cs="Times New Roman"/>
          <w:b/>
          <w:i/>
          <w:lang w:val="en-US"/>
        </w:rPr>
        <w:t xml:space="preserve">Figure </w:t>
      </w:r>
      <w:proofErr w:type="gramStart"/>
      <w:r>
        <w:rPr>
          <w:rFonts w:ascii="Calibri" w:eastAsia="Calibri" w:hAnsi="Calibri" w:cs="Times New Roman"/>
          <w:b/>
          <w:i/>
          <w:lang w:val="en-US"/>
        </w:rPr>
        <w:t>4</w:t>
      </w:r>
      <w:proofErr w:type="gramEnd"/>
      <w:r w:rsidR="00A822EB" w:rsidRPr="00A822EB">
        <w:rPr>
          <w:rFonts w:ascii="Calibri" w:eastAsia="Calibri" w:hAnsi="Calibri" w:cs="Times New Roman"/>
          <w:b/>
          <w:i/>
          <w:lang w:val="en-US"/>
        </w:rPr>
        <w:t xml:space="preserve"> – 3d Party Claim for Damages</w:t>
      </w:r>
      <w:r w:rsidR="00A822EB" w:rsidRPr="00A822EB">
        <w:rPr>
          <w:rFonts w:ascii="Calibri" w:eastAsia="Calibri" w:hAnsi="Calibri" w:cs="Times New Roman"/>
          <w:b/>
          <w:i/>
          <w:noProof/>
          <w:lang w:val="en-US"/>
        </w:rPr>
        <w:drawing>
          <wp:inline distT="0" distB="0" distL="0" distR="0" wp14:anchorId="0BB0ABD8" wp14:editId="58A27A22">
            <wp:extent cx="6191250" cy="26955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0" cy="2695575"/>
                    </a:xfrm>
                    <a:prstGeom prst="rect">
                      <a:avLst/>
                    </a:prstGeom>
                    <a:noFill/>
                    <a:ln>
                      <a:noFill/>
                    </a:ln>
                  </pic:spPr>
                </pic:pic>
              </a:graphicData>
            </a:graphic>
          </wp:inline>
        </w:drawing>
      </w:r>
    </w:p>
    <w:p w14:paraId="181D522A" w14:textId="77777777" w:rsidR="0053587F" w:rsidRDefault="0053587F" w:rsidP="00A822EB">
      <w:pPr>
        <w:spacing w:after="0" w:line="240" w:lineRule="auto"/>
        <w:jc w:val="both"/>
        <w:rPr>
          <w:rFonts w:ascii="Calibri" w:eastAsia="Calibri" w:hAnsi="Calibri" w:cs="Times New Roman"/>
          <w:lang w:val="en-US"/>
        </w:rPr>
      </w:pPr>
    </w:p>
    <w:p w14:paraId="646A0AED" w14:textId="22FE0FB6" w:rsidR="00A822EB" w:rsidRDefault="00A822EB" w:rsidP="00A822EB">
      <w:pPr>
        <w:spacing w:after="0" w:line="240" w:lineRule="auto"/>
        <w:jc w:val="both"/>
        <w:rPr>
          <w:rFonts w:ascii="Calibri" w:eastAsia="Calibri" w:hAnsi="Calibri" w:cs="Times New Roman"/>
          <w:lang w:val="en-US"/>
        </w:rPr>
      </w:pPr>
      <w:r w:rsidRPr="00A822EB">
        <w:rPr>
          <w:rFonts w:ascii="Calibri" w:eastAsia="Calibri" w:hAnsi="Calibri" w:cs="Times New Roman"/>
          <w:lang w:val="en-US"/>
        </w:rPr>
        <w:t>IoT sensors</w:t>
      </w:r>
      <w:r w:rsidR="001F6427">
        <w:rPr>
          <w:rFonts w:ascii="Calibri" w:eastAsia="Calibri" w:hAnsi="Calibri" w:cs="Times New Roman"/>
          <w:lang w:val="en-US"/>
        </w:rPr>
        <w:t xml:space="preserve"> </w:t>
      </w:r>
      <w:r w:rsidR="00AC6A65">
        <w:rPr>
          <w:rFonts w:ascii="Calibri" w:eastAsia="Calibri" w:hAnsi="Calibri" w:cs="Times New Roman"/>
          <w:lang w:val="en-US"/>
        </w:rPr>
        <w:t xml:space="preserve">deployed on drones </w:t>
      </w:r>
      <w:r w:rsidRPr="00A822EB">
        <w:rPr>
          <w:rFonts w:ascii="Calibri" w:eastAsia="Calibri" w:hAnsi="Calibri" w:cs="Times New Roman"/>
          <w:lang w:val="en-US"/>
        </w:rPr>
        <w:t>are under field tests to comply with measurem</w:t>
      </w:r>
      <w:r w:rsidR="00854F88">
        <w:rPr>
          <w:rFonts w:ascii="Calibri" w:eastAsia="Calibri" w:hAnsi="Calibri" w:cs="Times New Roman"/>
          <w:lang w:val="en-US"/>
        </w:rPr>
        <w:t xml:space="preserve">ent standards and requirements. On-site monitoring of ambient </w:t>
      </w:r>
      <w:r w:rsidR="001F6427">
        <w:rPr>
          <w:rFonts w:ascii="Calibri" w:eastAsia="Calibri" w:hAnsi="Calibri" w:cs="Times New Roman"/>
          <w:lang w:val="en-US"/>
        </w:rPr>
        <w:t>pollution parameters would be available for anyone to order via DAO IPCI blockchain with the monitoring results uploaded to public distributed file storage.</w:t>
      </w:r>
    </w:p>
    <w:p w14:paraId="2AA41B71" w14:textId="77777777" w:rsidR="00854F88" w:rsidRPr="00A822EB" w:rsidRDefault="00854F88" w:rsidP="00A822EB">
      <w:pPr>
        <w:spacing w:after="0" w:line="240" w:lineRule="auto"/>
        <w:jc w:val="both"/>
        <w:rPr>
          <w:rFonts w:ascii="Calibri" w:eastAsia="Calibri" w:hAnsi="Calibri" w:cs="Times New Roman"/>
          <w:lang w:val="en-US"/>
        </w:rPr>
      </w:pPr>
    </w:p>
    <w:p w14:paraId="53321404" w14:textId="77777777" w:rsidR="00A822EB" w:rsidRDefault="00A822EB" w:rsidP="00A822EB">
      <w:pPr>
        <w:spacing w:after="0" w:line="240" w:lineRule="auto"/>
        <w:jc w:val="both"/>
        <w:rPr>
          <w:rFonts w:ascii="Calibri" w:eastAsia="Calibri" w:hAnsi="Calibri" w:cs="Times New Roman"/>
          <w:lang w:val="en-US"/>
        </w:rPr>
      </w:pPr>
      <w:r w:rsidRPr="00A822EB">
        <w:rPr>
          <w:rFonts w:ascii="Calibri" w:eastAsia="Calibri" w:hAnsi="Calibri" w:cs="Times New Roman"/>
          <w:lang w:val="en-US"/>
        </w:rPr>
        <w:lastRenderedPageBreak/>
        <w:t>Other than tokens representing mitigation instruments type of token, represents an internal currency for internal markets of independent programs, essentially a payment/utility token. Operators of independent programs, DAOs, may issue this type of tokens arbitrarily.</w:t>
      </w:r>
    </w:p>
    <w:p w14:paraId="7FDAD7BD" w14:textId="77777777" w:rsidR="00FA5AA6" w:rsidRDefault="00FA5AA6" w:rsidP="00A822EB">
      <w:pPr>
        <w:spacing w:after="0" w:line="240" w:lineRule="auto"/>
        <w:jc w:val="both"/>
        <w:rPr>
          <w:rFonts w:ascii="Calibri" w:eastAsia="Calibri" w:hAnsi="Calibri" w:cs="Times New Roman"/>
          <w:lang w:val="en-US"/>
        </w:rPr>
      </w:pPr>
    </w:p>
    <w:p w14:paraId="1DAE66D9" w14:textId="4CBC90B0" w:rsidR="007B31B2" w:rsidRPr="007B31B2" w:rsidRDefault="00FA5AA6" w:rsidP="007B31B2">
      <w:pPr>
        <w:spacing w:after="0" w:line="240" w:lineRule="auto"/>
        <w:jc w:val="both"/>
        <w:rPr>
          <w:rFonts w:ascii="Calibri" w:eastAsia="Calibri" w:hAnsi="Calibri" w:cs="Times New Roman"/>
          <w:lang w:val="en-US"/>
        </w:rPr>
      </w:pPr>
      <w:r w:rsidRPr="00FA5AA6">
        <w:rPr>
          <w:rFonts w:ascii="Calibri" w:eastAsia="Calibri" w:hAnsi="Calibri" w:cs="Times New Roman"/>
          <w:lang w:val="en-US"/>
        </w:rPr>
        <w:t xml:space="preserve">Fundamental concept for issuance of independent currencies is that artificial state monopoly for money emission suppressing other currencies is harmful in respect of inflation, social conflicts, unrestrained budget expenditures, economic nationalism. </w:t>
      </w:r>
      <w:r w:rsidR="007B31B2" w:rsidRPr="007B31B2">
        <w:rPr>
          <w:rFonts w:ascii="Calibri" w:eastAsia="Calibri" w:hAnsi="Calibri" w:cs="Times New Roman"/>
          <w:lang w:val="en-US"/>
        </w:rPr>
        <w:t xml:space="preserve">Government monopoly for money </w:t>
      </w:r>
      <w:proofErr w:type="gramStart"/>
      <w:r w:rsidR="007B31B2" w:rsidRPr="007B31B2">
        <w:rPr>
          <w:rFonts w:ascii="Calibri" w:eastAsia="Calibri" w:hAnsi="Calibri" w:cs="Times New Roman"/>
          <w:lang w:val="en-US"/>
        </w:rPr>
        <w:t>should be abolished</w:t>
      </w:r>
      <w:proofErr w:type="gramEnd"/>
      <w:r w:rsidR="007B31B2" w:rsidRPr="007B31B2">
        <w:rPr>
          <w:rFonts w:ascii="Calibri" w:eastAsia="Calibri" w:hAnsi="Calibri" w:cs="Times New Roman"/>
          <w:lang w:val="en-US"/>
        </w:rPr>
        <w:t>. From the very beginning blockchain technology and its first manifestation, Bitcoin, brought to life a simple though disruptive concept: that anyone can issue his own global money with minimum transaction costs. Actually, monopoly for money by the governments has already ended, and denationalization of money</w:t>
      </w:r>
      <w:r w:rsidR="007B31B2" w:rsidRPr="007B31B2">
        <w:rPr>
          <w:rFonts w:ascii="Calibri" w:eastAsia="Calibri" w:hAnsi="Calibri" w:cs="Times New Roman"/>
          <w:vertAlign w:val="superscript"/>
          <w:lang w:val="en-US"/>
        </w:rPr>
        <w:footnoteReference w:id="21"/>
      </w:r>
      <w:r w:rsidR="007B31B2" w:rsidRPr="007B31B2">
        <w:rPr>
          <w:rFonts w:ascii="Calibri" w:eastAsia="Calibri" w:hAnsi="Calibri" w:cs="Times New Roman"/>
          <w:lang w:val="en-US"/>
        </w:rPr>
        <w:t xml:space="preserve"> has begun. Suppression by the governments of currencies issued by entities, persons or even machines, is hopeless, does not make sense and will eventually stop. At the end of the day, it is up to person himself to choose which of the currencies to use for each specific exchange or to store values. On the other hand, it is up to the Issuer to choose the scheme of issuance of “his money”. However, “one-time” sale of the token representing the currency is not the only option. Proof-of-Work algorithms to issue currency with all the benefits, unfortunately, are not a market feature. Proof-of Stake also do not fully reflect market demand for the token. Alternatively, a mechanism based on market demand for the token </w:t>
      </w:r>
      <w:proofErr w:type="gramStart"/>
      <w:r w:rsidR="007B31B2" w:rsidRPr="007B31B2">
        <w:rPr>
          <w:rFonts w:ascii="Calibri" w:eastAsia="Calibri" w:hAnsi="Calibri" w:cs="Times New Roman"/>
          <w:lang w:val="en-US"/>
        </w:rPr>
        <w:t>may be created</w:t>
      </w:r>
      <w:proofErr w:type="gramEnd"/>
      <w:r w:rsidR="007B31B2" w:rsidRPr="007B31B2">
        <w:rPr>
          <w:rFonts w:ascii="Calibri" w:eastAsia="Calibri" w:hAnsi="Calibri" w:cs="Times New Roman"/>
          <w:lang w:val="en-US"/>
        </w:rPr>
        <w:t xml:space="preserve">. For this </w:t>
      </w:r>
      <w:proofErr w:type="gramStart"/>
      <w:r w:rsidR="007B31B2" w:rsidRPr="007B31B2">
        <w:rPr>
          <w:rFonts w:ascii="Calibri" w:eastAsia="Calibri" w:hAnsi="Calibri" w:cs="Times New Roman"/>
          <w:lang w:val="en-US"/>
        </w:rPr>
        <w:t>purpose</w:t>
      </w:r>
      <w:proofErr w:type="gramEnd"/>
      <w:r w:rsidR="007B31B2" w:rsidRPr="007B31B2">
        <w:rPr>
          <w:rFonts w:ascii="Calibri" w:eastAsia="Calibri" w:hAnsi="Calibri" w:cs="Times New Roman"/>
          <w:lang w:val="en-US"/>
        </w:rPr>
        <w:t xml:space="preserve"> initial crowd-offering should be targeted at understanding the initial demand and initial level of price acceptable for different buyers however unpredictable those might be. A permanent emission mechanism </w:t>
      </w:r>
      <w:proofErr w:type="gramStart"/>
      <w:r w:rsidR="007B31B2" w:rsidRPr="007B31B2">
        <w:rPr>
          <w:rFonts w:ascii="Calibri" w:eastAsia="Calibri" w:hAnsi="Calibri" w:cs="Times New Roman"/>
          <w:lang w:val="en-US"/>
        </w:rPr>
        <w:t>can be launched</w:t>
      </w:r>
      <w:proofErr w:type="gramEnd"/>
      <w:r w:rsidR="007B31B2" w:rsidRPr="007B31B2">
        <w:rPr>
          <w:rFonts w:ascii="Calibri" w:eastAsia="Calibri" w:hAnsi="Calibri" w:cs="Times New Roman"/>
          <w:lang w:val="en-US"/>
        </w:rPr>
        <w:t xml:space="preserve"> on this basis. For example, a contract that offers issuance of new tokens at the Ceiling price. When there is enough data from the smart-contract accumulated, Artificial Neural Network may take over setting the contract price for the token issuance. This way the Issuer provides options to the Buyers whether to use the token on the Market to buy goods, to buy more tokens, to store for the future or to go to an external exchange.</w:t>
      </w:r>
    </w:p>
    <w:p w14:paraId="37E5CC2E" w14:textId="77777777" w:rsidR="0053587F" w:rsidRPr="00AB0968" w:rsidRDefault="0053587F" w:rsidP="00A822EB">
      <w:pPr>
        <w:spacing w:after="0" w:line="240" w:lineRule="auto"/>
        <w:jc w:val="both"/>
        <w:rPr>
          <w:rFonts w:ascii="Calibri" w:eastAsia="Calibri" w:hAnsi="Calibri" w:cs="Times New Roman"/>
          <w:lang w:val="en-US"/>
        </w:rPr>
      </w:pPr>
    </w:p>
    <w:p w14:paraId="2CCEB1A1" w14:textId="461E0DC8" w:rsidR="00A822EB" w:rsidRPr="00A822EB" w:rsidRDefault="00A822EB" w:rsidP="00FD7548">
      <w:pPr>
        <w:spacing w:after="0" w:line="240" w:lineRule="auto"/>
        <w:jc w:val="both"/>
        <w:rPr>
          <w:rFonts w:ascii="Calibri" w:eastAsia="Calibri" w:hAnsi="Calibri" w:cs="Times New Roman"/>
          <w:lang w:val="en-US"/>
        </w:rPr>
      </w:pPr>
      <w:r w:rsidRPr="00A822EB">
        <w:rPr>
          <w:rFonts w:ascii="Calibri" w:eastAsia="Calibri" w:hAnsi="Calibri" w:cs="Times New Roman"/>
          <w:lang w:val="en-US"/>
        </w:rPr>
        <w:t>Market is the core element of DAO IPCI structure and of any independent program, DAO, within the ecosystem. Other elements like issuance or retirement of mitigation instruments provide for the quality of market goods and traceability of transactions, compliance with the program requirements. The goods traded at these markets are not for direct consumption but are goods of a higher order, factors of further production; essentially, they represent rights for further economic activity harmful to a third party.</w:t>
      </w:r>
      <w:r w:rsidR="00FD7548">
        <w:rPr>
          <w:rFonts w:ascii="Calibri" w:eastAsia="Calibri" w:hAnsi="Calibri" w:cs="Times New Roman"/>
          <w:lang w:val="en-US"/>
        </w:rPr>
        <w:t xml:space="preserve"> </w:t>
      </w:r>
      <w:r w:rsidRPr="00A822EB">
        <w:rPr>
          <w:rFonts w:ascii="Calibri" w:eastAsia="Calibri" w:hAnsi="Calibri" w:cs="Times New Roman"/>
          <w:lang w:val="en-US"/>
        </w:rPr>
        <w:t xml:space="preserve">It is in the best interests of all DAO IPCI stakeholders to link, integrate and merge markets, and therefore to have a unified payment token.  </w:t>
      </w:r>
    </w:p>
    <w:p w14:paraId="1F5CFB75" w14:textId="77777777" w:rsidR="0053587F" w:rsidRDefault="0053587F" w:rsidP="00FD7548">
      <w:pPr>
        <w:spacing w:after="0" w:line="240" w:lineRule="auto"/>
        <w:jc w:val="both"/>
        <w:rPr>
          <w:rFonts w:ascii="Calibri" w:eastAsia="Calibri" w:hAnsi="Calibri" w:cs="Times New Roman"/>
          <w:lang w:val="en-US"/>
        </w:rPr>
      </w:pPr>
    </w:p>
    <w:p w14:paraId="10814888" w14:textId="77777777" w:rsidR="00A822EB" w:rsidRDefault="00A822EB" w:rsidP="00A822EB">
      <w:pPr>
        <w:spacing w:after="0" w:line="240" w:lineRule="auto"/>
        <w:jc w:val="both"/>
        <w:rPr>
          <w:rFonts w:ascii="Calibri" w:eastAsia="Calibri" w:hAnsi="Calibri" w:cs="Times New Roman"/>
          <w:lang w:val="en-US"/>
        </w:rPr>
      </w:pPr>
      <w:r w:rsidRPr="00A822EB">
        <w:rPr>
          <w:rFonts w:ascii="Calibri" w:eastAsia="Calibri" w:hAnsi="Calibri" w:cs="Times New Roman"/>
          <w:lang w:val="en-US"/>
        </w:rPr>
        <w:t>Payment token functional role is to provide for seamless market operations, fungibility of mitigation instruments, and its’ value is determined market demand for the token. To provide for market operations with minimum transaction costs and for growth of value of the market further emission of payment token would seem necessary. However, payment token emission algorithm has to be compliant with inherent properties of public blockchain.</w:t>
      </w:r>
    </w:p>
    <w:p w14:paraId="7D178727" w14:textId="77777777" w:rsidR="0053587F" w:rsidRPr="00A822EB" w:rsidRDefault="0053587F" w:rsidP="00A822EB">
      <w:pPr>
        <w:spacing w:after="0" w:line="240" w:lineRule="auto"/>
        <w:jc w:val="both"/>
        <w:rPr>
          <w:rFonts w:ascii="Calibri" w:eastAsia="Calibri" w:hAnsi="Calibri" w:cs="Times New Roman"/>
          <w:lang w:val="en-US"/>
        </w:rPr>
      </w:pPr>
    </w:p>
    <w:p w14:paraId="4AC8311E" w14:textId="77777777" w:rsidR="00A822EB" w:rsidRPr="00A822EB" w:rsidRDefault="00A822EB" w:rsidP="00A822EB">
      <w:pPr>
        <w:spacing w:after="0" w:line="240" w:lineRule="auto"/>
        <w:jc w:val="both"/>
        <w:rPr>
          <w:rFonts w:ascii="Calibri" w:eastAsia="Calibri" w:hAnsi="Calibri" w:cs="Times New Roman"/>
          <w:lang w:val="en-US"/>
        </w:rPr>
      </w:pPr>
      <w:r w:rsidRPr="00A822EB">
        <w:rPr>
          <w:rFonts w:ascii="Calibri" w:eastAsia="Calibri" w:hAnsi="Calibri" w:cs="Times New Roman"/>
          <w:lang w:val="en-US"/>
        </w:rPr>
        <w:t>“The state of the market at any instant is the price structure, i.e., the totality of the exchange ratios as established by the interaction of those eager to buy and those eager to sell.”</w:t>
      </w:r>
      <w:r w:rsidRPr="00A822EB">
        <w:rPr>
          <w:rFonts w:ascii="Calibri" w:eastAsia="Calibri" w:hAnsi="Calibri" w:cs="Times New Roman"/>
          <w:vertAlign w:val="superscript"/>
          <w:lang w:val="en-US"/>
        </w:rPr>
        <w:footnoteReference w:id="22"/>
      </w:r>
      <w:r w:rsidRPr="00A822EB">
        <w:rPr>
          <w:rFonts w:ascii="Calibri" w:eastAsia="Calibri" w:hAnsi="Calibri" w:cs="Times New Roman"/>
          <w:lang w:val="en-US"/>
        </w:rPr>
        <w:t xml:space="preserve"> </w:t>
      </w:r>
      <w:proofErr w:type="gramStart"/>
      <w:r w:rsidRPr="00A822EB">
        <w:rPr>
          <w:rFonts w:ascii="Calibri" w:eastAsia="Calibri" w:hAnsi="Calibri" w:cs="Times New Roman"/>
          <w:lang w:val="en-US"/>
        </w:rPr>
        <w:t>Evaluation of the state of the market might be performed by verification nodes of the programmable blockchain Network</w:t>
      </w:r>
      <w:proofErr w:type="gramEnd"/>
      <w:r w:rsidRPr="00A822EB">
        <w:rPr>
          <w:rFonts w:ascii="Calibri" w:eastAsia="Calibri" w:hAnsi="Calibri" w:cs="Times New Roman"/>
          <w:lang w:val="en-US"/>
        </w:rPr>
        <w:t xml:space="preserve">. </w:t>
      </w:r>
      <w:proofErr w:type="gramStart"/>
      <w:r w:rsidRPr="00A822EB">
        <w:rPr>
          <w:rFonts w:ascii="Calibri" w:eastAsia="Calibri" w:hAnsi="Calibri" w:cs="Times New Roman"/>
          <w:lang w:val="en-US"/>
        </w:rPr>
        <w:t>Or</w:t>
      </w:r>
      <w:proofErr w:type="gramEnd"/>
      <w:r w:rsidRPr="00A822EB">
        <w:rPr>
          <w:rFonts w:ascii="Calibri" w:eastAsia="Calibri" w:hAnsi="Calibri" w:cs="Times New Roman"/>
          <w:lang w:val="en-US"/>
        </w:rPr>
        <w:t xml:space="preserve">, market evaluation of the token should be introduced. Based on this evaluation, emission of payment token algorithm </w:t>
      </w:r>
      <w:proofErr w:type="gramStart"/>
      <w:r w:rsidRPr="00A822EB">
        <w:rPr>
          <w:rFonts w:ascii="Calibri" w:eastAsia="Calibri" w:hAnsi="Calibri" w:cs="Times New Roman"/>
          <w:lang w:val="en-US"/>
        </w:rPr>
        <w:t>should be introduced</w:t>
      </w:r>
      <w:proofErr w:type="gramEnd"/>
      <w:r w:rsidRPr="00A822EB">
        <w:rPr>
          <w:rFonts w:ascii="Calibri" w:eastAsia="Calibri" w:hAnsi="Calibri" w:cs="Times New Roman"/>
          <w:lang w:val="en-US"/>
        </w:rPr>
        <w:t xml:space="preserve"> to support ‘proof-of-stake’ protocol.</w:t>
      </w:r>
    </w:p>
    <w:p w14:paraId="4D277099" w14:textId="77777777" w:rsidR="0053587F" w:rsidRDefault="0053587F" w:rsidP="00A822EB">
      <w:pPr>
        <w:spacing w:after="0" w:line="240" w:lineRule="auto"/>
        <w:rPr>
          <w:rFonts w:ascii="Calibri" w:eastAsia="Calibri" w:hAnsi="Calibri" w:cs="Times New Roman"/>
          <w:b/>
          <w:i/>
          <w:lang w:val="en-US"/>
        </w:rPr>
      </w:pPr>
    </w:p>
    <w:p w14:paraId="7D113013" w14:textId="434AECFC" w:rsidR="00A822EB" w:rsidRPr="00A822EB" w:rsidRDefault="00AB0968" w:rsidP="00A822EB">
      <w:pPr>
        <w:spacing w:after="0" w:line="240" w:lineRule="auto"/>
        <w:rPr>
          <w:rFonts w:ascii="Calibri" w:eastAsia="Calibri" w:hAnsi="Calibri" w:cs="Times New Roman"/>
          <w:b/>
          <w:i/>
          <w:lang w:val="en-US"/>
        </w:rPr>
      </w:pPr>
      <w:r>
        <w:rPr>
          <w:rFonts w:ascii="Calibri" w:eastAsia="Calibri" w:hAnsi="Calibri" w:cs="Times New Roman"/>
          <w:b/>
          <w:i/>
          <w:lang w:val="en-US"/>
        </w:rPr>
        <w:lastRenderedPageBreak/>
        <w:t>Figure 5</w:t>
      </w:r>
      <w:r w:rsidR="00A822EB" w:rsidRPr="00A822EB">
        <w:rPr>
          <w:rFonts w:ascii="Calibri" w:eastAsia="Calibri" w:hAnsi="Calibri" w:cs="Times New Roman"/>
          <w:b/>
          <w:i/>
          <w:lang w:val="en-US"/>
        </w:rPr>
        <w:t xml:space="preserve"> – The Market and Issuance of Payment Token</w:t>
      </w:r>
      <w:r w:rsidR="00ED4138">
        <w:rPr>
          <w:rFonts w:ascii="Calibri" w:eastAsia="Calibri" w:hAnsi="Calibri" w:cs="Times New Roman"/>
          <w:b/>
          <w:i/>
          <w:noProof/>
          <w:lang w:val="en-US"/>
        </w:rPr>
        <w:drawing>
          <wp:inline distT="0" distB="0" distL="0" distR="0" wp14:anchorId="6D4679F3" wp14:editId="4DEA8446">
            <wp:extent cx="5919470" cy="3967162"/>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8073" cy="3972927"/>
                    </a:xfrm>
                    <a:prstGeom prst="rect">
                      <a:avLst/>
                    </a:prstGeom>
                    <a:noFill/>
                  </pic:spPr>
                </pic:pic>
              </a:graphicData>
            </a:graphic>
          </wp:inline>
        </w:drawing>
      </w:r>
    </w:p>
    <w:p w14:paraId="0AA8E0C0" w14:textId="77777777" w:rsidR="0053587F" w:rsidRDefault="0053587F" w:rsidP="00A822EB">
      <w:pPr>
        <w:spacing w:after="0" w:line="240" w:lineRule="auto"/>
        <w:jc w:val="both"/>
        <w:rPr>
          <w:rFonts w:ascii="Calibri" w:eastAsia="Calibri" w:hAnsi="Calibri" w:cs="Times New Roman"/>
          <w:lang w:val="en-US"/>
        </w:rPr>
      </w:pPr>
    </w:p>
    <w:p w14:paraId="176E437D" w14:textId="77777777" w:rsidR="00A822EB" w:rsidRPr="00A822EB" w:rsidRDefault="00A822EB" w:rsidP="00A822EB">
      <w:pPr>
        <w:spacing w:after="0" w:line="240" w:lineRule="auto"/>
        <w:jc w:val="both"/>
        <w:rPr>
          <w:rFonts w:ascii="Calibri" w:eastAsia="Calibri" w:hAnsi="Calibri" w:cs="Times New Roman"/>
          <w:lang w:val="en-US"/>
        </w:rPr>
      </w:pPr>
      <w:r w:rsidRPr="00A822EB">
        <w:rPr>
          <w:rFonts w:ascii="Calibri" w:eastAsia="Calibri" w:hAnsi="Calibri" w:cs="Times New Roman"/>
          <w:lang w:val="en-US"/>
        </w:rPr>
        <w:t xml:space="preserve">There is a dominant economic idea that the supply and demand and turnover determine the value of the market and are to </w:t>
      </w:r>
      <w:proofErr w:type="gramStart"/>
      <w:r w:rsidRPr="00A822EB">
        <w:rPr>
          <w:rFonts w:ascii="Calibri" w:eastAsia="Calibri" w:hAnsi="Calibri" w:cs="Times New Roman"/>
          <w:lang w:val="en-US"/>
        </w:rPr>
        <w:t>be used</w:t>
      </w:r>
      <w:proofErr w:type="gramEnd"/>
      <w:r w:rsidRPr="00A822EB">
        <w:rPr>
          <w:rFonts w:ascii="Calibri" w:eastAsia="Calibri" w:hAnsi="Calibri" w:cs="Times New Roman"/>
          <w:lang w:val="en-US"/>
        </w:rPr>
        <w:t xml:space="preserve"> to determine the amount of the emission needed. However, the fundamental parameter still is the market demand for the token, whether it </w:t>
      </w:r>
      <w:proofErr w:type="gramStart"/>
      <w:r w:rsidRPr="00A822EB">
        <w:rPr>
          <w:rFonts w:ascii="Calibri" w:eastAsia="Calibri" w:hAnsi="Calibri" w:cs="Times New Roman"/>
          <w:lang w:val="en-US"/>
        </w:rPr>
        <w:t>is used</w:t>
      </w:r>
      <w:proofErr w:type="gramEnd"/>
      <w:r w:rsidRPr="00A822EB">
        <w:rPr>
          <w:rFonts w:ascii="Calibri" w:eastAsia="Calibri" w:hAnsi="Calibri" w:cs="Times New Roman"/>
          <w:lang w:val="en-US"/>
        </w:rPr>
        <w:t xml:space="preserve"> to exchange for goods (mitigation instruments) available at the market, or to store value on the balance. </w:t>
      </w:r>
    </w:p>
    <w:p w14:paraId="0BC2E9B7" w14:textId="77777777" w:rsidR="0053587F" w:rsidRDefault="0053587F" w:rsidP="00A822EB">
      <w:pPr>
        <w:spacing w:after="0" w:line="240" w:lineRule="auto"/>
        <w:jc w:val="both"/>
        <w:rPr>
          <w:rFonts w:ascii="Calibri" w:eastAsia="Calibri" w:hAnsi="Calibri" w:cs="Times New Roman"/>
          <w:lang w:val="en-US"/>
        </w:rPr>
      </w:pPr>
    </w:p>
    <w:p w14:paraId="1A1F8D43" w14:textId="1956A0F9" w:rsidR="00A822EB" w:rsidRPr="00A822EB" w:rsidRDefault="00A822EB" w:rsidP="00A822EB">
      <w:pPr>
        <w:spacing w:after="0" w:line="240" w:lineRule="auto"/>
        <w:jc w:val="both"/>
        <w:rPr>
          <w:rFonts w:ascii="Calibri" w:eastAsia="Calibri" w:hAnsi="Calibri" w:cs="Times New Roman"/>
          <w:lang w:val="en-US"/>
        </w:rPr>
      </w:pPr>
      <w:r w:rsidRPr="00A822EB">
        <w:rPr>
          <w:rFonts w:ascii="Calibri" w:eastAsia="Calibri" w:hAnsi="Calibri" w:cs="Times New Roman"/>
          <w:lang w:val="en-US"/>
        </w:rPr>
        <w:t>Most of the elements to implement the model in principle are in place in DAO IPCI. Yet, some of t</w:t>
      </w:r>
      <w:r w:rsidR="00D5128D">
        <w:rPr>
          <w:rFonts w:ascii="Calibri" w:eastAsia="Calibri" w:hAnsi="Calibri" w:cs="Times New Roman"/>
          <w:lang w:val="en-US"/>
        </w:rPr>
        <w:t>hem are still under development.</w:t>
      </w:r>
      <w:r w:rsidRPr="00A822EB">
        <w:rPr>
          <w:rFonts w:ascii="Calibri" w:eastAsia="Calibri" w:hAnsi="Calibri" w:cs="Times New Roman"/>
          <w:lang w:val="en-US"/>
        </w:rPr>
        <w:t xml:space="preserve"> </w:t>
      </w:r>
      <w:r w:rsidR="00D5128D" w:rsidRPr="00A822EB">
        <w:rPr>
          <w:rFonts w:ascii="Calibri" w:eastAsia="Calibri" w:hAnsi="Calibri" w:cs="Times New Roman"/>
          <w:lang w:val="en-US"/>
        </w:rPr>
        <w:t>What</w:t>
      </w:r>
      <w:r w:rsidRPr="00A822EB">
        <w:rPr>
          <w:rFonts w:ascii="Calibri" w:eastAsia="Calibri" w:hAnsi="Calibri" w:cs="Times New Roman"/>
          <w:lang w:val="en-US"/>
        </w:rPr>
        <w:t xml:space="preserve"> is far more important</w:t>
      </w:r>
      <w:r w:rsidR="00FD7548">
        <w:rPr>
          <w:rFonts w:ascii="Calibri" w:eastAsia="Calibri" w:hAnsi="Calibri" w:cs="Times New Roman"/>
          <w:lang w:val="en-US"/>
        </w:rPr>
        <w:t>,</w:t>
      </w:r>
      <w:r w:rsidRPr="00A822EB">
        <w:rPr>
          <w:rFonts w:ascii="Calibri" w:eastAsia="Calibri" w:hAnsi="Calibri" w:cs="Times New Roman"/>
          <w:lang w:val="en-US"/>
        </w:rPr>
        <w:t xml:space="preserve"> the concept in general still needs comprehension by the “climate” and “blockchain” communities. The concept that there is no governance or central authority, which prescribes solutions, restricts or allows action, is still making its way even in public blockchain projects.</w:t>
      </w:r>
    </w:p>
    <w:p w14:paraId="1E52B2DD" w14:textId="77777777" w:rsidR="002E387D" w:rsidRPr="002E387D" w:rsidRDefault="002E387D" w:rsidP="002E387D">
      <w:pPr>
        <w:spacing w:after="0" w:line="240" w:lineRule="auto"/>
        <w:jc w:val="both"/>
        <w:rPr>
          <w:rFonts w:ascii="Calibri" w:eastAsia="Calibri" w:hAnsi="Calibri" w:cs="Times New Roman"/>
          <w:lang w:val="en-US"/>
        </w:rPr>
      </w:pPr>
    </w:p>
    <w:p w14:paraId="65A49CCD" w14:textId="59E6DE44" w:rsidR="002E387D" w:rsidRPr="002E387D" w:rsidRDefault="002E387D" w:rsidP="002E387D">
      <w:pPr>
        <w:spacing w:after="0" w:line="240" w:lineRule="auto"/>
        <w:jc w:val="both"/>
        <w:rPr>
          <w:rFonts w:ascii="Calibri" w:eastAsia="Calibri" w:hAnsi="Calibri" w:cs="Times New Roman"/>
          <w:bCs/>
          <w:lang w:val="en-US"/>
        </w:rPr>
      </w:pPr>
      <w:r w:rsidRPr="002E387D">
        <w:rPr>
          <w:rFonts w:ascii="Calibri" w:eastAsia="Calibri" w:hAnsi="Calibri" w:cs="Times New Roman"/>
          <w:lang w:val="en-US"/>
        </w:rPr>
        <w:t xml:space="preserve">Attempts to create carbon emissions-related blockchain systems and cryptocurrencies would fail if they lack of high quality underlying to support them. </w:t>
      </w:r>
      <w:r w:rsidRPr="002E387D">
        <w:rPr>
          <w:rFonts w:ascii="Calibri" w:eastAsia="Calibri" w:hAnsi="Calibri" w:cs="Times New Roman"/>
          <w:bCs/>
          <w:lang w:val="en-US"/>
        </w:rPr>
        <w:t xml:space="preserve">DAO IPCI essentially excludes emission of cryptocurrency, and </w:t>
      </w:r>
      <w:proofErr w:type="gramStart"/>
      <w:r w:rsidRPr="002E387D">
        <w:rPr>
          <w:rFonts w:ascii="Calibri" w:eastAsia="Calibri" w:hAnsi="Calibri" w:cs="Times New Roman"/>
          <w:bCs/>
          <w:lang w:val="en-US"/>
        </w:rPr>
        <w:t>is based</w:t>
      </w:r>
      <w:proofErr w:type="gramEnd"/>
      <w:r w:rsidRPr="002E387D">
        <w:rPr>
          <w:rFonts w:ascii="Calibri" w:eastAsia="Calibri" w:hAnsi="Calibri" w:cs="Times New Roman"/>
          <w:bCs/>
          <w:lang w:val="en-US"/>
        </w:rPr>
        <w:t xml:space="preserve"> on the </w:t>
      </w:r>
      <w:r w:rsidR="004D0251">
        <w:rPr>
          <w:rFonts w:ascii="Calibri" w:eastAsia="Calibri" w:hAnsi="Calibri" w:cs="Times New Roman"/>
          <w:bCs/>
          <w:lang w:val="en-US"/>
        </w:rPr>
        <w:t xml:space="preserve">independently </w:t>
      </w:r>
      <w:r w:rsidRPr="002E387D">
        <w:rPr>
          <w:rFonts w:ascii="Calibri" w:eastAsia="Calibri" w:hAnsi="Calibri" w:cs="Times New Roman"/>
          <w:bCs/>
          <w:lang w:val="en-US"/>
        </w:rPr>
        <w:t xml:space="preserve">assured assets, including climate </w:t>
      </w:r>
      <w:r w:rsidR="00DA2332">
        <w:rPr>
          <w:rFonts w:ascii="Calibri" w:eastAsia="Calibri" w:hAnsi="Calibri" w:cs="Times New Roman"/>
          <w:bCs/>
          <w:lang w:val="en-US"/>
        </w:rPr>
        <w:t xml:space="preserve">change </w:t>
      </w:r>
      <w:r w:rsidRPr="002E387D">
        <w:rPr>
          <w:rFonts w:ascii="Calibri" w:eastAsia="Calibri" w:hAnsi="Calibri" w:cs="Times New Roman"/>
          <w:bCs/>
          <w:lang w:val="en-US"/>
        </w:rPr>
        <w:t xml:space="preserve">mitigation </w:t>
      </w:r>
      <w:r w:rsidR="00C07193">
        <w:rPr>
          <w:rFonts w:ascii="Calibri" w:eastAsia="Calibri" w:hAnsi="Calibri" w:cs="Times New Roman"/>
          <w:bCs/>
          <w:lang w:val="en-US"/>
        </w:rPr>
        <w:t>instruments</w:t>
      </w:r>
      <w:r w:rsidRPr="002E387D">
        <w:rPr>
          <w:rFonts w:ascii="Calibri" w:eastAsia="Calibri" w:hAnsi="Calibri" w:cs="Times New Roman"/>
          <w:bCs/>
          <w:lang w:val="en-US"/>
        </w:rPr>
        <w:t xml:space="preserve"> in the first instance, as the underlying. </w:t>
      </w:r>
    </w:p>
    <w:p w14:paraId="08E9B471" w14:textId="77777777" w:rsidR="00C07193" w:rsidRDefault="00C07193" w:rsidP="002E387D">
      <w:pPr>
        <w:spacing w:after="0" w:line="240" w:lineRule="auto"/>
        <w:jc w:val="both"/>
        <w:rPr>
          <w:rFonts w:ascii="Calibri" w:eastAsia="Calibri" w:hAnsi="Calibri" w:cs="Times New Roman"/>
          <w:lang w:val="en-US"/>
        </w:rPr>
      </w:pPr>
    </w:p>
    <w:p w14:paraId="56618F5D" w14:textId="77777777" w:rsidR="002E387D" w:rsidRPr="002E387D" w:rsidRDefault="002E387D" w:rsidP="002E387D">
      <w:pPr>
        <w:spacing w:after="0" w:line="240" w:lineRule="auto"/>
        <w:jc w:val="both"/>
        <w:rPr>
          <w:rFonts w:ascii="Calibri" w:eastAsia="Calibri" w:hAnsi="Calibri" w:cs="Times New Roman"/>
          <w:lang w:val="en-US"/>
        </w:rPr>
      </w:pPr>
      <w:r w:rsidRPr="002E387D">
        <w:rPr>
          <w:rFonts w:ascii="Calibri" w:eastAsia="Calibri" w:hAnsi="Calibri" w:cs="Times New Roman"/>
          <w:lang w:val="en-US"/>
        </w:rPr>
        <w:t xml:space="preserve">Blockchain-based mitigation concept </w:t>
      </w:r>
      <w:r w:rsidR="00901079">
        <w:rPr>
          <w:rFonts w:ascii="Calibri" w:eastAsia="Calibri" w:hAnsi="Calibri" w:cs="Times New Roman"/>
          <w:lang w:val="en-US"/>
        </w:rPr>
        <w:t xml:space="preserve">allows </w:t>
      </w:r>
      <w:proofErr w:type="gramStart"/>
      <w:r w:rsidR="00901079">
        <w:rPr>
          <w:rFonts w:ascii="Calibri" w:eastAsia="Calibri" w:hAnsi="Calibri" w:cs="Times New Roman"/>
          <w:lang w:val="en-US"/>
        </w:rPr>
        <w:t>for the</w:t>
      </w:r>
      <w:proofErr w:type="gramEnd"/>
      <w:r w:rsidR="00901079">
        <w:rPr>
          <w:rFonts w:ascii="Calibri" w:eastAsia="Calibri" w:hAnsi="Calibri" w:cs="Times New Roman"/>
          <w:lang w:val="en-US"/>
        </w:rPr>
        <w:t xml:space="preserve"> same protocols to be</w:t>
      </w:r>
      <w:r w:rsidRPr="002E387D">
        <w:rPr>
          <w:rFonts w:ascii="Calibri" w:eastAsia="Calibri" w:hAnsi="Calibri" w:cs="Times New Roman"/>
          <w:lang w:val="en-US"/>
        </w:rPr>
        <w:t xml:space="preserve"> applied to other than climate</w:t>
      </w:r>
      <w:r w:rsidR="00A55395">
        <w:rPr>
          <w:rFonts w:ascii="Calibri" w:eastAsia="Calibri" w:hAnsi="Calibri" w:cs="Times New Roman"/>
          <w:lang w:val="en-US"/>
        </w:rPr>
        <w:t xml:space="preserve"> change-related</w:t>
      </w:r>
      <w:r w:rsidRPr="002E387D">
        <w:rPr>
          <w:rFonts w:ascii="Calibri" w:eastAsia="Calibri" w:hAnsi="Calibri" w:cs="Times New Roman"/>
          <w:lang w:val="en-US"/>
        </w:rPr>
        <w:t xml:space="preserve"> impacts, commitments, assets, rights and liabilities.  Digital ecosystem </w:t>
      </w:r>
      <w:proofErr w:type="gramStart"/>
      <w:r w:rsidRPr="002E387D">
        <w:rPr>
          <w:rFonts w:ascii="Calibri" w:eastAsia="Calibri" w:hAnsi="Calibri" w:cs="Times New Roman"/>
          <w:lang w:val="en-US"/>
        </w:rPr>
        <w:t>is designed</w:t>
      </w:r>
      <w:proofErr w:type="gramEnd"/>
      <w:r w:rsidRPr="002E387D">
        <w:rPr>
          <w:rFonts w:ascii="Calibri" w:eastAsia="Calibri" w:hAnsi="Calibri" w:cs="Times New Roman"/>
          <w:lang w:val="en-US"/>
        </w:rPr>
        <w:t xml:space="preserve"> to offset collateral damage of economic activities by means of ‘physical’ or monetary instruments.</w:t>
      </w:r>
    </w:p>
    <w:p w14:paraId="77C5D20D" w14:textId="0767D85A" w:rsidR="002E387D" w:rsidRPr="002E387D" w:rsidRDefault="002E387D" w:rsidP="002E387D">
      <w:pPr>
        <w:spacing w:after="0" w:line="240" w:lineRule="auto"/>
        <w:jc w:val="both"/>
        <w:rPr>
          <w:rFonts w:ascii="Calibri" w:eastAsia="Calibri" w:hAnsi="Calibri" w:cs="Times New Roman"/>
          <w:lang w:val="en-US"/>
        </w:rPr>
      </w:pPr>
    </w:p>
    <w:p w14:paraId="7B1832CE" w14:textId="77777777" w:rsidR="002E387D" w:rsidRPr="002E387D" w:rsidRDefault="002E387D" w:rsidP="002E387D">
      <w:pPr>
        <w:spacing w:after="0" w:line="240" w:lineRule="auto"/>
        <w:jc w:val="both"/>
        <w:rPr>
          <w:rFonts w:ascii="Calibri" w:eastAsia="Calibri" w:hAnsi="Calibri" w:cs="Times New Roman"/>
          <w:lang w:val="en-US"/>
        </w:rPr>
      </w:pPr>
      <w:r w:rsidRPr="002E387D">
        <w:rPr>
          <w:rFonts w:ascii="Calibri" w:eastAsia="Calibri" w:hAnsi="Calibri" w:cs="Times New Roman"/>
          <w:lang w:val="en-US"/>
        </w:rPr>
        <w:t xml:space="preserve">DAO IPCI is designed to be </w:t>
      </w:r>
      <w:r w:rsidRPr="00EE25A5">
        <w:rPr>
          <w:rFonts w:ascii="Calibri" w:eastAsia="Calibri" w:hAnsi="Calibri" w:cs="Times New Roman"/>
          <w:lang w:val="en-US"/>
        </w:rPr>
        <w:t>truly decentralized public blockchain-ecosystem and</w:t>
      </w:r>
      <w:r w:rsidRPr="002E387D">
        <w:rPr>
          <w:rFonts w:ascii="Calibri" w:eastAsia="Calibri" w:hAnsi="Calibri" w:cs="Times New Roman"/>
          <w:lang w:val="en-US"/>
        </w:rPr>
        <w:t xml:space="preserve"> aims at creation of common business space to attract financing from investors not limited by financial capacity, location, or legal status with minimization of transaction costs, increased reliability and transparency of the whole process, which would be free of interference, interventions, manipulations or falsifications.</w:t>
      </w:r>
      <w:r w:rsidR="00D204DC">
        <w:rPr>
          <w:rFonts w:ascii="Calibri" w:eastAsia="Calibri" w:hAnsi="Calibri" w:cs="Times New Roman"/>
          <w:lang w:val="en-US"/>
        </w:rPr>
        <w:t xml:space="preserve"> </w:t>
      </w:r>
      <w:r w:rsidRPr="002E387D">
        <w:rPr>
          <w:rFonts w:ascii="Calibri" w:eastAsia="Calibri" w:hAnsi="Calibri" w:cs="Times New Roman"/>
          <w:lang w:val="en-US"/>
        </w:rPr>
        <w:t xml:space="preserve">The blockchain system as a whole is relatively immune to political, administrative, regulatory interventions of </w:t>
      </w:r>
      <w:r w:rsidRPr="002E387D">
        <w:rPr>
          <w:rFonts w:ascii="Calibri" w:eastAsia="Calibri" w:hAnsi="Calibri" w:cs="Times New Roman"/>
          <w:lang w:val="en-US"/>
        </w:rPr>
        <w:lastRenderedPageBreak/>
        <w:t xml:space="preserve">the governments. The open source code provides for securing fundamental requirement </w:t>
      </w:r>
      <w:r w:rsidR="006F299B">
        <w:rPr>
          <w:rFonts w:ascii="Calibri" w:eastAsia="Calibri" w:hAnsi="Calibri" w:cs="Times New Roman"/>
          <w:lang w:val="en-US"/>
        </w:rPr>
        <w:t>–</w:t>
      </w:r>
      <w:r w:rsidR="00F26CD5">
        <w:rPr>
          <w:rFonts w:ascii="Calibri" w:eastAsia="Calibri" w:hAnsi="Calibri" w:cs="Times New Roman"/>
          <w:lang w:val="en-US"/>
        </w:rPr>
        <w:t xml:space="preserve"> </w:t>
      </w:r>
      <w:r w:rsidR="006F299B">
        <w:rPr>
          <w:rFonts w:ascii="Calibri" w:eastAsia="Calibri" w:hAnsi="Calibri" w:cs="Times New Roman"/>
          <w:lang w:val="en-US"/>
        </w:rPr>
        <w:t xml:space="preserve">minimum </w:t>
      </w:r>
      <w:r w:rsidRPr="002E387D">
        <w:rPr>
          <w:rFonts w:ascii="Calibri" w:eastAsia="Calibri" w:hAnsi="Calibri" w:cs="Times New Roman"/>
          <w:lang w:val="en-US"/>
        </w:rPr>
        <w:t>need for trust.</w:t>
      </w:r>
    </w:p>
    <w:p w14:paraId="0AFF7040" w14:textId="77777777" w:rsidR="002E387D" w:rsidRPr="002E387D" w:rsidRDefault="002E387D" w:rsidP="002E387D">
      <w:pPr>
        <w:spacing w:after="0" w:line="240" w:lineRule="auto"/>
        <w:jc w:val="both"/>
        <w:rPr>
          <w:rFonts w:ascii="Calibri" w:eastAsia="Calibri" w:hAnsi="Calibri" w:cs="Times New Roman"/>
          <w:lang w:val="en-US"/>
        </w:rPr>
      </w:pPr>
    </w:p>
    <w:p w14:paraId="04820DE9" w14:textId="658D9BED" w:rsidR="002E387D" w:rsidRPr="002C3239" w:rsidRDefault="002E387D" w:rsidP="002E387D">
      <w:pPr>
        <w:spacing w:after="0" w:line="240" w:lineRule="auto"/>
        <w:jc w:val="both"/>
        <w:rPr>
          <w:rFonts w:ascii="Calibri" w:eastAsia="Calibri" w:hAnsi="Calibri" w:cs="Times New Roman"/>
          <w:lang w:val="en-US"/>
        </w:rPr>
      </w:pPr>
      <w:r w:rsidRPr="002E387D">
        <w:rPr>
          <w:rFonts w:ascii="Calibri" w:eastAsia="Calibri" w:hAnsi="Calibri" w:cs="Times New Roman"/>
          <w:lang w:val="en-US"/>
        </w:rPr>
        <w:t xml:space="preserve">Furthermore, </w:t>
      </w:r>
      <w:r w:rsidR="00A1127E">
        <w:rPr>
          <w:rFonts w:ascii="Calibri" w:eastAsia="Calibri" w:hAnsi="Calibri" w:cs="Times New Roman"/>
          <w:lang w:val="en-US"/>
        </w:rPr>
        <w:t xml:space="preserve">DAO IPCI </w:t>
      </w:r>
      <w:r w:rsidRPr="002E387D">
        <w:rPr>
          <w:rFonts w:ascii="Calibri" w:eastAsia="Calibri" w:hAnsi="Calibri" w:cs="Times New Roman"/>
          <w:lang w:val="en-US"/>
        </w:rPr>
        <w:t>architecton</w:t>
      </w:r>
      <w:r w:rsidR="001F6427">
        <w:rPr>
          <w:rFonts w:ascii="Calibri" w:eastAsia="Calibri" w:hAnsi="Calibri" w:cs="Times New Roman"/>
          <w:lang w:val="en-US"/>
        </w:rPr>
        <w:t>ics</w:t>
      </w:r>
      <w:r w:rsidRPr="002E387D">
        <w:rPr>
          <w:rFonts w:ascii="Calibri" w:eastAsia="Calibri" w:hAnsi="Calibri" w:cs="Times New Roman"/>
          <w:lang w:val="en-US"/>
        </w:rPr>
        <w:t xml:space="preserve"> provide for</w:t>
      </w:r>
      <w:r w:rsidR="007E37BE">
        <w:rPr>
          <w:rFonts w:ascii="Calibri" w:eastAsia="Calibri" w:hAnsi="Calibri" w:cs="Times New Roman"/>
          <w:lang w:val="en-US"/>
        </w:rPr>
        <w:t xml:space="preserve"> </w:t>
      </w:r>
      <w:r w:rsidRPr="002E387D">
        <w:rPr>
          <w:rFonts w:ascii="Calibri" w:eastAsia="Calibri" w:hAnsi="Calibri" w:cs="Times New Roman"/>
          <w:lang w:val="en-US"/>
        </w:rPr>
        <w:t xml:space="preserve">actual interaction of different asset-based systems on the Ethereum blockchain. The modules of </w:t>
      </w:r>
      <w:r w:rsidR="006F299B">
        <w:rPr>
          <w:rFonts w:ascii="Calibri" w:eastAsia="Calibri" w:hAnsi="Calibri" w:cs="Times New Roman"/>
          <w:lang w:val="en-US"/>
        </w:rPr>
        <w:t>external</w:t>
      </w:r>
      <w:r w:rsidRPr="002E387D">
        <w:rPr>
          <w:rFonts w:ascii="Calibri" w:eastAsia="Calibri" w:hAnsi="Calibri" w:cs="Times New Roman"/>
          <w:lang w:val="en-US"/>
        </w:rPr>
        <w:t xml:space="preserve"> </w:t>
      </w:r>
      <w:r w:rsidR="006F299B">
        <w:rPr>
          <w:rFonts w:ascii="Calibri" w:eastAsia="Calibri" w:hAnsi="Calibri" w:cs="Times New Roman"/>
          <w:lang w:val="en-US"/>
        </w:rPr>
        <w:t xml:space="preserve">blockchain systems, </w:t>
      </w:r>
      <w:r w:rsidRPr="002E387D">
        <w:rPr>
          <w:rFonts w:ascii="Calibri" w:eastAsia="Calibri" w:hAnsi="Calibri" w:cs="Times New Roman"/>
          <w:lang w:val="en-US"/>
        </w:rPr>
        <w:t>DAO</w:t>
      </w:r>
      <w:r w:rsidR="006F299B">
        <w:rPr>
          <w:rFonts w:ascii="Calibri" w:eastAsia="Calibri" w:hAnsi="Calibri" w:cs="Times New Roman"/>
          <w:lang w:val="en-US"/>
        </w:rPr>
        <w:t>s</w:t>
      </w:r>
      <w:r w:rsidRPr="002E387D">
        <w:rPr>
          <w:rFonts w:ascii="Calibri" w:eastAsia="Calibri" w:hAnsi="Calibri" w:cs="Times New Roman"/>
          <w:lang w:val="en-US"/>
        </w:rPr>
        <w:t>, e.g. energy assets-based, may be included into DAO</w:t>
      </w:r>
      <w:r w:rsidR="006F299B">
        <w:rPr>
          <w:rFonts w:ascii="Calibri" w:eastAsia="Calibri" w:hAnsi="Calibri" w:cs="Times New Roman"/>
          <w:lang w:val="en-US"/>
        </w:rPr>
        <w:t xml:space="preserve"> IPCI Core</w:t>
      </w:r>
      <w:r w:rsidRPr="002E387D">
        <w:rPr>
          <w:rFonts w:ascii="Calibri" w:eastAsia="Calibri" w:hAnsi="Calibri" w:cs="Times New Roman"/>
          <w:lang w:val="en-US"/>
        </w:rPr>
        <w:t>, and reflected in the decentralized application</w:t>
      </w:r>
      <w:r w:rsidR="006F299B">
        <w:rPr>
          <w:rFonts w:ascii="Calibri" w:eastAsia="Calibri" w:hAnsi="Calibri" w:cs="Times New Roman"/>
          <w:lang w:val="en-US"/>
        </w:rPr>
        <w:t>,</w:t>
      </w:r>
      <w:r w:rsidR="006F299B" w:rsidRPr="006F299B">
        <w:rPr>
          <w:rFonts w:ascii="Calibri" w:eastAsia="Calibri" w:hAnsi="Calibri" w:cs="Times New Roman"/>
          <w:lang w:val="en-US"/>
        </w:rPr>
        <w:t xml:space="preserve"> </w:t>
      </w:r>
      <w:r w:rsidR="006F299B" w:rsidRPr="002E387D">
        <w:rPr>
          <w:rFonts w:ascii="Calibri" w:eastAsia="Calibri" w:hAnsi="Calibri" w:cs="Times New Roman"/>
          <w:lang w:val="en-US"/>
        </w:rPr>
        <w:t>and vice-versa</w:t>
      </w:r>
      <w:r w:rsidRPr="002E387D">
        <w:rPr>
          <w:rFonts w:ascii="Calibri" w:eastAsia="Calibri" w:hAnsi="Calibri" w:cs="Times New Roman"/>
          <w:lang w:val="en-US"/>
        </w:rPr>
        <w:t xml:space="preserve">. </w:t>
      </w:r>
    </w:p>
    <w:p w14:paraId="0C5C6223" w14:textId="77777777" w:rsidR="002E387D" w:rsidRPr="002E387D" w:rsidRDefault="002E387D" w:rsidP="002E387D">
      <w:pPr>
        <w:spacing w:after="0" w:line="240" w:lineRule="auto"/>
        <w:jc w:val="both"/>
        <w:rPr>
          <w:rFonts w:ascii="Calibri" w:eastAsia="Calibri" w:hAnsi="Calibri" w:cs="Times New Roman"/>
          <w:lang w:val="en-US"/>
        </w:rPr>
      </w:pPr>
    </w:p>
    <w:p w14:paraId="4F2D9EEC" w14:textId="38664D73" w:rsidR="002E387D" w:rsidRPr="002E387D" w:rsidRDefault="002E387D" w:rsidP="002E387D">
      <w:pPr>
        <w:spacing w:after="0" w:line="240" w:lineRule="auto"/>
        <w:rPr>
          <w:rFonts w:ascii="Calibri" w:eastAsia="Calibri" w:hAnsi="Calibri" w:cs="Times New Roman"/>
          <w:lang w:val="en-US"/>
        </w:rPr>
      </w:pPr>
      <w:r w:rsidRPr="002E387D">
        <w:rPr>
          <w:rFonts w:ascii="Calibri" w:eastAsia="Calibri" w:hAnsi="Calibri" w:cs="Times New Roman"/>
          <w:b/>
          <w:i/>
          <w:lang w:val="en-US"/>
        </w:rPr>
        <w:t xml:space="preserve">Figure </w:t>
      </w:r>
      <w:proofErr w:type="gramStart"/>
      <w:r w:rsidR="00AB0968">
        <w:rPr>
          <w:rFonts w:ascii="Calibri" w:eastAsia="Calibri" w:hAnsi="Calibri" w:cs="Times New Roman"/>
          <w:b/>
          <w:i/>
          <w:lang w:val="en-US"/>
        </w:rPr>
        <w:t>6</w:t>
      </w:r>
      <w:proofErr w:type="gramEnd"/>
      <w:r w:rsidRPr="002E387D">
        <w:rPr>
          <w:rFonts w:ascii="Calibri" w:eastAsia="Calibri" w:hAnsi="Calibri" w:cs="Times New Roman"/>
          <w:b/>
          <w:i/>
          <w:lang w:val="en-US"/>
        </w:rPr>
        <w:t xml:space="preserve"> – DAO IPCI architecton</w:t>
      </w:r>
      <w:r w:rsidR="001F6427">
        <w:rPr>
          <w:rFonts w:ascii="Calibri" w:eastAsia="Calibri" w:hAnsi="Calibri" w:cs="Times New Roman"/>
          <w:b/>
          <w:i/>
          <w:lang w:val="en-US"/>
        </w:rPr>
        <w:t>ics</w:t>
      </w:r>
      <w:r w:rsidRPr="002E387D">
        <w:rPr>
          <w:rFonts w:ascii="Calibri" w:eastAsia="Calibri" w:hAnsi="Calibri" w:cs="Times New Roman"/>
          <w:b/>
          <w:i/>
          <w:lang w:val="en-US"/>
        </w:rPr>
        <w:t xml:space="preserve"> </w:t>
      </w:r>
      <w:r w:rsidR="006E22C4">
        <w:rPr>
          <w:rFonts w:ascii="Calibri" w:eastAsia="Calibri" w:hAnsi="Calibri" w:cs="Times New Roman"/>
          <w:b/>
          <w:i/>
          <w:noProof/>
          <w:lang w:val="en-US"/>
        </w:rPr>
        <w:drawing>
          <wp:inline distT="0" distB="0" distL="0" distR="0" wp14:anchorId="070A47BC" wp14:editId="54225989">
            <wp:extent cx="5956935" cy="2733675"/>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468" cy="2740803"/>
                    </a:xfrm>
                    <a:prstGeom prst="rect">
                      <a:avLst/>
                    </a:prstGeom>
                    <a:noFill/>
                  </pic:spPr>
                </pic:pic>
              </a:graphicData>
            </a:graphic>
          </wp:inline>
        </w:drawing>
      </w:r>
    </w:p>
    <w:p w14:paraId="2436A525" w14:textId="77777777" w:rsidR="002E387D" w:rsidRPr="002E387D" w:rsidRDefault="002E387D" w:rsidP="002E387D">
      <w:pPr>
        <w:spacing w:after="0" w:line="240" w:lineRule="auto"/>
        <w:jc w:val="both"/>
        <w:rPr>
          <w:rFonts w:ascii="Calibri" w:eastAsia="Calibri" w:hAnsi="Calibri" w:cs="Times New Roman"/>
          <w:lang w:val="en-US"/>
        </w:rPr>
      </w:pPr>
    </w:p>
    <w:p w14:paraId="5F6A3503" w14:textId="77777777" w:rsidR="002E387D" w:rsidRPr="002E387D" w:rsidRDefault="002E387D" w:rsidP="002E387D">
      <w:pPr>
        <w:spacing w:after="0" w:line="240" w:lineRule="auto"/>
        <w:jc w:val="both"/>
        <w:rPr>
          <w:rFonts w:ascii="Calibri" w:eastAsia="Calibri" w:hAnsi="Calibri" w:cs="Times New Roman"/>
          <w:lang w:val="en-US"/>
        </w:rPr>
      </w:pPr>
    </w:p>
    <w:p w14:paraId="08809341" w14:textId="77777777" w:rsidR="00DD0DA6" w:rsidRDefault="00DD0DA6">
      <w:pPr>
        <w:rPr>
          <w:rFonts w:ascii="Calibri" w:eastAsia="Calibri" w:hAnsi="Calibri" w:cs="Times New Roman"/>
          <w:lang w:val="en-US"/>
        </w:rPr>
      </w:pPr>
      <w:r>
        <w:rPr>
          <w:rFonts w:ascii="Calibri" w:eastAsia="Calibri" w:hAnsi="Calibri" w:cs="Times New Roman"/>
          <w:lang w:val="en-US"/>
        </w:rPr>
        <w:br w:type="page"/>
      </w:r>
    </w:p>
    <w:p w14:paraId="479DCBF3" w14:textId="77777777" w:rsidR="009A1241" w:rsidRPr="009A1241" w:rsidRDefault="00817DC2" w:rsidP="0029607D">
      <w:pPr>
        <w:pStyle w:val="1"/>
        <w:rPr>
          <w:rFonts w:ascii="Calibri" w:eastAsia="Times New Roman" w:hAnsi="Calibri" w:cs="Times New Roman"/>
          <w:color w:val="5A5A5A"/>
          <w:spacing w:val="15"/>
          <w:lang w:val="en-US"/>
        </w:rPr>
      </w:pPr>
      <w:bookmarkStart w:id="4" w:name="_Toc515607013"/>
      <w:r w:rsidRPr="0029607D">
        <w:rPr>
          <w:lang w:val="en-US"/>
        </w:rPr>
        <w:lastRenderedPageBreak/>
        <w:t>Participants</w:t>
      </w:r>
      <w:r w:rsidR="00B34BE6" w:rsidRPr="0029607D">
        <w:rPr>
          <w:lang w:val="en-US"/>
        </w:rPr>
        <w:t xml:space="preserve">, </w:t>
      </w:r>
      <w:r w:rsidR="00772945" w:rsidRPr="0029607D">
        <w:rPr>
          <w:lang w:val="en-US"/>
        </w:rPr>
        <w:t xml:space="preserve">Mitigation </w:t>
      </w:r>
      <w:r w:rsidR="007E297F" w:rsidRPr="0029607D">
        <w:rPr>
          <w:lang w:val="en-US"/>
        </w:rPr>
        <w:t>Programs</w:t>
      </w:r>
      <w:r w:rsidR="00F26CD5" w:rsidRPr="0029607D">
        <w:rPr>
          <w:lang w:val="en-US"/>
        </w:rPr>
        <w:t xml:space="preserve"> and </w:t>
      </w:r>
      <w:r w:rsidR="0085259E" w:rsidRPr="0029607D">
        <w:rPr>
          <w:lang w:val="en-US"/>
        </w:rPr>
        <w:t>Environmental Units</w:t>
      </w:r>
      <w:r w:rsidR="009A1241" w:rsidRPr="0029607D">
        <w:rPr>
          <w:lang w:val="en-US"/>
        </w:rPr>
        <w:t>, Functional Modules and Operations</w:t>
      </w:r>
      <w:r w:rsidR="00F65F87">
        <w:rPr>
          <w:rStyle w:val="af5"/>
          <w:rFonts w:ascii="Calibri" w:eastAsia="Times New Roman" w:hAnsi="Calibri" w:cs="Times New Roman"/>
          <w:color w:val="5A5A5A"/>
          <w:spacing w:val="15"/>
          <w:lang w:val="en-US"/>
        </w:rPr>
        <w:footnoteReference w:id="23"/>
      </w:r>
      <w:bookmarkEnd w:id="4"/>
      <w:r w:rsidR="009A1241" w:rsidRPr="009A1241">
        <w:rPr>
          <w:rFonts w:ascii="Calibri" w:eastAsia="Times New Roman" w:hAnsi="Calibri" w:cs="Times New Roman"/>
          <w:color w:val="5A5A5A"/>
          <w:spacing w:val="15"/>
          <w:lang w:val="en-US"/>
        </w:rPr>
        <w:t xml:space="preserve"> </w:t>
      </w:r>
    </w:p>
    <w:p w14:paraId="0BA610FB" w14:textId="511B08C2" w:rsidR="00A75B42" w:rsidRDefault="00A75B42" w:rsidP="00F26CD5">
      <w:pPr>
        <w:spacing w:after="0" w:line="240" w:lineRule="auto"/>
        <w:jc w:val="both"/>
        <w:rPr>
          <w:rFonts w:ascii="Calibri" w:eastAsia="Calibri" w:hAnsi="Calibri" w:cs="Times New Roman"/>
          <w:lang w:val="en-US"/>
        </w:rPr>
      </w:pPr>
      <w:r>
        <w:rPr>
          <w:rFonts w:ascii="Calibri" w:eastAsia="Calibri" w:hAnsi="Calibri" w:cs="Times New Roman"/>
          <w:lang w:val="en-US"/>
        </w:rPr>
        <w:t xml:space="preserve">DAO IPCI stakeholder may choose </w:t>
      </w:r>
      <w:r w:rsidR="00A55395">
        <w:rPr>
          <w:rFonts w:ascii="Calibri" w:eastAsia="Calibri" w:hAnsi="Calibri" w:cs="Times New Roman"/>
          <w:lang w:val="en-US"/>
        </w:rPr>
        <w:t>either to</w:t>
      </w:r>
      <w:r>
        <w:rPr>
          <w:rFonts w:ascii="Calibri" w:eastAsia="Calibri" w:hAnsi="Calibri" w:cs="Times New Roman"/>
          <w:lang w:val="en-US"/>
        </w:rPr>
        <w:t xml:space="preserve"> join existing programs as user, issuer, complier or independent entity or </w:t>
      </w:r>
      <w:r w:rsidR="00B34BE6">
        <w:rPr>
          <w:rFonts w:ascii="Calibri" w:eastAsia="Calibri" w:hAnsi="Calibri" w:cs="Times New Roman"/>
          <w:lang w:val="en-US"/>
        </w:rPr>
        <w:t xml:space="preserve">to </w:t>
      </w:r>
      <w:r>
        <w:rPr>
          <w:rFonts w:ascii="Calibri" w:eastAsia="Calibri" w:hAnsi="Calibri" w:cs="Times New Roman"/>
          <w:lang w:val="en-US"/>
        </w:rPr>
        <w:t>launch new program</w:t>
      </w:r>
      <w:r w:rsidR="00594D49">
        <w:rPr>
          <w:rFonts w:ascii="Calibri" w:eastAsia="Calibri" w:hAnsi="Calibri" w:cs="Times New Roman"/>
          <w:lang w:val="en-US"/>
        </w:rPr>
        <w:t xml:space="preserve"> (DAO)</w:t>
      </w:r>
      <w:r>
        <w:rPr>
          <w:rFonts w:ascii="Calibri" w:eastAsia="Calibri" w:hAnsi="Calibri" w:cs="Times New Roman"/>
          <w:lang w:val="en-US"/>
        </w:rPr>
        <w:t xml:space="preserve"> undertaking the functions of the operator for such new program. </w:t>
      </w:r>
    </w:p>
    <w:p w14:paraId="7CE62FA4" w14:textId="77777777" w:rsidR="00B34BE6" w:rsidRDefault="00B34BE6" w:rsidP="00F26CD5">
      <w:pPr>
        <w:spacing w:after="0" w:line="240" w:lineRule="auto"/>
        <w:jc w:val="both"/>
        <w:rPr>
          <w:rFonts w:ascii="Calibri" w:eastAsia="Calibri" w:hAnsi="Calibri" w:cs="Times New Roman"/>
          <w:lang w:val="en-US"/>
        </w:rPr>
      </w:pPr>
    </w:p>
    <w:p w14:paraId="25BEAB34" w14:textId="77777777" w:rsidR="00B34BE6" w:rsidRDefault="00B34BE6" w:rsidP="00F26CD5">
      <w:pPr>
        <w:spacing w:after="0" w:line="240" w:lineRule="auto"/>
        <w:jc w:val="both"/>
        <w:rPr>
          <w:rFonts w:ascii="Calibri" w:eastAsia="Calibri" w:hAnsi="Calibri" w:cs="Times New Roman"/>
          <w:lang w:val="en-US"/>
        </w:rPr>
      </w:pPr>
      <w:r w:rsidRPr="00B34BE6">
        <w:rPr>
          <w:rFonts w:ascii="Calibri" w:eastAsia="Calibri" w:hAnsi="Calibri" w:cs="Times New Roman"/>
          <w:lang w:val="en-US"/>
        </w:rPr>
        <w:t>DAO IPCI stakeholder may</w:t>
      </w:r>
      <w:r>
        <w:rPr>
          <w:rFonts w:ascii="Calibri" w:eastAsia="Calibri" w:hAnsi="Calibri" w:cs="Times New Roman"/>
          <w:lang w:val="en-US"/>
        </w:rPr>
        <w:t xml:space="preserve"> join </w:t>
      </w:r>
      <w:r w:rsidRPr="00B34BE6">
        <w:rPr>
          <w:rFonts w:ascii="Calibri" w:eastAsia="Calibri" w:hAnsi="Calibri" w:cs="Times New Roman"/>
          <w:lang w:val="en-US"/>
        </w:rPr>
        <w:t>existing program</w:t>
      </w:r>
      <w:r>
        <w:rPr>
          <w:rFonts w:ascii="Calibri" w:eastAsia="Calibri" w:hAnsi="Calibri" w:cs="Times New Roman"/>
          <w:lang w:val="en-US"/>
        </w:rPr>
        <w:t xml:space="preserve"> </w:t>
      </w:r>
      <w:r w:rsidR="00350A5A">
        <w:rPr>
          <w:rFonts w:ascii="Calibri" w:eastAsia="Calibri" w:hAnsi="Calibri" w:cs="Times New Roman"/>
          <w:lang w:val="en-US"/>
        </w:rPr>
        <w:t>to</w:t>
      </w:r>
    </w:p>
    <w:p w14:paraId="1EBAB0DA" w14:textId="77777777" w:rsidR="00A91218" w:rsidRPr="00B34BE6" w:rsidRDefault="00350A5A" w:rsidP="00B34BE6">
      <w:pPr>
        <w:numPr>
          <w:ilvl w:val="0"/>
          <w:numId w:val="33"/>
        </w:numPr>
        <w:spacing w:after="0" w:line="240" w:lineRule="auto"/>
        <w:jc w:val="both"/>
        <w:rPr>
          <w:rFonts w:ascii="Calibri" w:eastAsia="Calibri" w:hAnsi="Calibri" w:cs="Times New Roman"/>
          <w:lang w:val="en-US"/>
        </w:rPr>
      </w:pPr>
      <w:r>
        <w:rPr>
          <w:rFonts w:ascii="Calibri" w:eastAsia="Calibri" w:hAnsi="Calibri" w:cs="Times New Roman"/>
          <w:lang w:val="en-US"/>
        </w:rPr>
        <w:t>perform as</w:t>
      </w:r>
      <w:r w:rsidR="00A91218" w:rsidRPr="00B34BE6">
        <w:rPr>
          <w:rFonts w:ascii="Calibri" w:eastAsia="Calibri" w:hAnsi="Calibri" w:cs="Times New Roman"/>
          <w:lang w:val="en-US"/>
        </w:rPr>
        <w:t xml:space="preserve"> Issuer to </w:t>
      </w:r>
      <w:r w:rsidR="00BA3C52">
        <w:rPr>
          <w:rFonts w:ascii="Calibri" w:eastAsia="Calibri" w:hAnsi="Calibri" w:cs="Times New Roman"/>
          <w:lang w:val="en-US"/>
        </w:rPr>
        <w:t>supply</w:t>
      </w:r>
      <w:r w:rsidR="00A91218" w:rsidRPr="00B34BE6">
        <w:rPr>
          <w:rFonts w:ascii="Calibri" w:eastAsia="Calibri" w:hAnsi="Calibri" w:cs="Times New Roman"/>
          <w:lang w:val="en-US"/>
        </w:rPr>
        <w:t xml:space="preserve"> </w:t>
      </w:r>
      <w:r w:rsidR="00BA3C52">
        <w:rPr>
          <w:rFonts w:ascii="Calibri" w:eastAsia="Calibri" w:hAnsi="Calibri" w:cs="Times New Roman"/>
          <w:lang w:val="en-US"/>
        </w:rPr>
        <w:t>environmental</w:t>
      </w:r>
      <w:r w:rsidR="00A91218" w:rsidRPr="00B34BE6">
        <w:rPr>
          <w:rFonts w:ascii="Calibri" w:eastAsia="Calibri" w:hAnsi="Calibri" w:cs="Times New Roman"/>
          <w:lang w:val="en-US"/>
        </w:rPr>
        <w:t xml:space="preserve"> units</w:t>
      </w:r>
    </w:p>
    <w:p w14:paraId="7B1F4F31" w14:textId="77777777" w:rsidR="00A91218" w:rsidRPr="00B34BE6" w:rsidRDefault="00350A5A" w:rsidP="00B34BE6">
      <w:pPr>
        <w:numPr>
          <w:ilvl w:val="0"/>
          <w:numId w:val="33"/>
        </w:numPr>
        <w:spacing w:after="0" w:line="240" w:lineRule="auto"/>
        <w:jc w:val="both"/>
        <w:rPr>
          <w:rFonts w:ascii="Calibri" w:eastAsia="Calibri" w:hAnsi="Calibri" w:cs="Times New Roman"/>
          <w:lang w:val="en-US"/>
        </w:rPr>
      </w:pPr>
      <w:r>
        <w:rPr>
          <w:rFonts w:ascii="Calibri" w:eastAsia="Calibri" w:hAnsi="Calibri" w:cs="Times New Roman"/>
          <w:lang w:val="en-US"/>
        </w:rPr>
        <w:t>perform as</w:t>
      </w:r>
      <w:r w:rsidR="00A91218" w:rsidRPr="00B34BE6">
        <w:rPr>
          <w:rFonts w:ascii="Calibri" w:eastAsia="Calibri" w:hAnsi="Calibri" w:cs="Times New Roman"/>
          <w:lang w:val="en-US"/>
        </w:rPr>
        <w:t xml:space="preserve"> Complier to </w:t>
      </w:r>
      <w:r w:rsidR="00B34BE6">
        <w:rPr>
          <w:rFonts w:ascii="Calibri" w:eastAsia="Calibri" w:hAnsi="Calibri" w:cs="Times New Roman"/>
          <w:lang w:val="en-US"/>
        </w:rPr>
        <w:t xml:space="preserve">comply with particular mitigation policy, for example to </w:t>
      </w:r>
      <w:r w:rsidR="00A91218" w:rsidRPr="00B34BE6">
        <w:rPr>
          <w:rFonts w:ascii="Calibri" w:eastAsia="Calibri" w:hAnsi="Calibri" w:cs="Times New Roman"/>
          <w:lang w:val="en-US"/>
        </w:rPr>
        <w:t xml:space="preserve">offset </w:t>
      </w:r>
      <w:r w:rsidR="00B34BE6">
        <w:rPr>
          <w:rFonts w:ascii="Calibri" w:eastAsia="Calibri" w:hAnsi="Calibri" w:cs="Times New Roman"/>
          <w:lang w:val="en-US"/>
        </w:rPr>
        <w:t xml:space="preserve">carbon footprint </w:t>
      </w:r>
    </w:p>
    <w:p w14:paraId="7B2E0D3F" w14:textId="77777777" w:rsidR="00A91218" w:rsidRDefault="00350A5A" w:rsidP="00B34BE6">
      <w:pPr>
        <w:numPr>
          <w:ilvl w:val="0"/>
          <w:numId w:val="33"/>
        </w:numPr>
        <w:spacing w:after="0" w:line="240" w:lineRule="auto"/>
        <w:jc w:val="both"/>
        <w:rPr>
          <w:rFonts w:ascii="Calibri" w:eastAsia="Calibri" w:hAnsi="Calibri" w:cs="Times New Roman"/>
          <w:lang w:val="en-US"/>
        </w:rPr>
      </w:pPr>
      <w:r>
        <w:rPr>
          <w:rFonts w:ascii="Calibri" w:eastAsia="Calibri" w:hAnsi="Calibri" w:cs="Times New Roman"/>
          <w:lang w:val="en-US"/>
        </w:rPr>
        <w:t>t</w:t>
      </w:r>
      <w:r w:rsidR="00A91218" w:rsidRPr="00B34BE6">
        <w:rPr>
          <w:rFonts w:ascii="Calibri" w:eastAsia="Calibri" w:hAnsi="Calibri" w:cs="Times New Roman"/>
          <w:lang w:val="en-US"/>
        </w:rPr>
        <w:t>rade environmental units to support mitigation projects</w:t>
      </w:r>
      <w:r w:rsidR="00B34BE6">
        <w:rPr>
          <w:rFonts w:ascii="Calibri" w:eastAsia="Calibri" w:hAnsi="Calibri" w:cs="Times New Roman"/>
          <w:lang w:val="en-US"/>
        </w:rPr>
        <w:t xml:space="preserve"> as User</w:t>
      </w:r>
    </w:p>
    <w:p w14:paraId="30BF333B" w14:textId="77777777" w:rsidR="00B34BE6" w:rsidRPr="00B34BE6" w:rsidRDefault="00350A5A" w:rsidP="00B34BE6">
      <w:pPr>
        <w:numPr>
          <w:ilvl w:val="0"/>
          <w:numId w:val="33"/>
        </w:numPr>
        <w:spacing w:after="0" w:line="240" w:lineRule="auto"/>
        <w:jc w:val="both"/>
        <w:rPr>
          <w:rFonts w:ascii="Calibri" w:eastAsia="Calibri" w:hAnsi="Calibri" w:cs="Times New Roman"/>
          <w:lang w:val="en-US"/>
        </w:rPr>
      </w:pPr>
      <w:r>
        <w:rPr>
          <w:rFonts w:ascii="Calibri" w:eastAsia="Calibri" w:hAnsi="Calibri" w:cs="Times New Roman"/>
          <w:lang w:val="en-US"/>
        </w:rPr>
        <w:t>p</w:t>
      </w:r>
      <w:r w:rsidR="00B34BE6">
        <w:rPr>
          <w:rFonts w:ascii="Calibri" w:eastAsia="Calibri" w:hAnsi="Calibri" w:cs="Times New Roman"/>
          <w:lang w:val="en-US"/>
        </w:rPr>
        <w:t>rovide professional services as an Independent entity</w:t>
      </w:r>
    </w:p>
    <w:p w14:paraId="321D3653" w14:textId="77777777" w:rsidR="00A75B42" w:rsidRDefault="00A75B42" w:rsidP="00F26CD5">
      <w:pPr>
        <w:spacing w:after="0" w:line="240" w:lineRule="auto"/>
        <w:jc w:val="both"/>
        <w:rPr>
          <w:rFonts w:ascii="Calibri" w:eastAsia="Calibri" w:hAnsi="Calibri" w:cs="Times New Roman"/>
          <w:lang w:val="en-US"/>
        </w:rPr>
      </w:pPr>
    </w:p>
    <w:p w14:paraId="25B9EA77" w14:textId="77777777" w:rsidR="00350A5A" w:rsidRDefault="00350A5A" w:rsidP="00F26CD5">
      <w:pPr>
        <w:spacing w:after="0" w:line="240" w:lineRule="auto"/>
        <w:jc w:val="both"/>
        <w:rPr>
          <w:rFonts w:ascii="Calibri" w:eastAsia="Calibri" w:hAnsi="Calibri" w:cs="Times New Roman"/>
          <w:lang w:val="en-US"/>
        </w:rPr>
      </w:pPr>
      <w:r w:rsidRPr="00350A5A">
        <w:rPr>
          <w:rFonts w:ascii="Calibri" w:eastAsia="Calibri" w:hAnsi="Calibri" w:cs="Times New Roman"/>
          <w:lang w:val="en-US"/>
        </w:rPr>
        <w:t xml:space="preserve">DAO IPCI stakeholder may </w:t>
      </w:r>
      <w:r>
        <w:rPr>
          <w:rFonts w:ascii="Calibri" w:eastAsia="Calibri" w:hAnsi="Calibri" w:cs="Times New Roman"/>
          <w:lang w:val="en-US"/>
        </w:rPr>
        <w:t xml:space="preserve">launch new </w:t>
      </w:r>
      <w:r w:rsidRPr="00350A5A">
        <w:rPr>
          <w:rFonts w:ascii="Calibri" w:eastAsia="Calibri" w:hAnsi="Calibri" w:cs="Times New Roman"/>
          <w:lang w:val="en-US"/>
        </w:rPr>
        <w:t xml:space="preserve">program </w:t>
      </w:r>
      <w:r>
        <w:rPr>
          <w:rFonts w:ascii="Calibri" w:eastAsia="Calibri" w:hAnsi="Calibri" w:cs="Times New Roman"/>
          <w:lang w:val="en-US"/>
        </w:rPr>
        <w:t>by</w:t>
      </w:r>
    </w:p>
    <w:p w14:paraId="6864A8AD" w14:textId="77777777" w:rsidR="00A91218" w:rsidRPr="00350A5A" w:rsidRDefault="00350A5A" w:rsidP="00350A5A">
      <w:pPr>
        <w:numPr>
          <w:ilvl w:val="0"/>
          <w:numId w:val="33"/>
        </w:numPr>
        <w:spacing w:after="0" w:line="240" w:lineRule="auto"/>
        <w:jc w:val="both"/>
        <w:rPr>
          <w:rFonts w:ascii="Calibri" w:eastAsia="Calibri" w:hAnsi="Calibri" w:cs="Times New Roman"/>
          <w:lang w:val="en-US"/>
        </w:rPr>
      </w:pPr>
      <w:r>
        <w:rPr>
          <w:rFonts w:ascii="Calibri" w:eastAsia="Calibri" w:hAnsi="Calibri" w:cs="Times New Roman"/>
          <w:lang w:val="en-US"/>
        </w:rPr>
        <w:t>c</w:t>
      </w:r>
      <w:r w:rsidR="00A91218" w:rsidRPr="00350A5A">
        <w:rPr>
          <w:rFonts w:ascii="Calibri" w:eastAsia="Calibri" w:hAnsi="Calibri" w:cs="Times New Roman"/>
          <w:lang w:val="en-US"/>
        </w:rPr>
        <w:t>reat</w:t>
      </w:r>
      <w:r>
        <w:rPr>
          <w:rFonts w:ascii="Calibri" w:eastAsia="Calibri" w:hAnsi="Calibri" w:cs="Times New Roman"/>
          <w:lang w:val="en-US"/>
        </w:rPr>
        <w:t>ing</w:t>
      </w:r>
      <w:r w:rsidR="00A91218" w:rsidRPr="00350A5A">
        <w:rPr>
          <w:rFonts w:ascii="Calibri" w:eastAsia="Calibri" w:hAnsi="Calibri" w:cs="Times New Roman"/>
          <w:lang w:val="en-US"/>
        </w:rPr>
        <w:t xml:space="preserve"> DAO </w:t>
      </w:r>
    </w:p>
    <w:p w14:paraId="5B3D8A40" w14:textId="77777777" w:rsidR="00A91218" w:rsidRPr="00350A5A" w:rsidRDefault="00350A5A" w:rsidP="00350A5A">
      <w:pPr>
        <w:numPr>
          <w:ilvl w:val="0"/>
          <w:numId w:val="33"/>
        </w:numPr>
        <w:spacing w:after="0" w:line="240" w:lineRule="auto"/>
        <w:jc w:val="both"/>
        <w:rPr>
          <w:rFonts w:ascii="Calibri" w:eastAsia="Calibri" w:hAnsi="Calibri" w:cs="Times New Roman"/>
          <w:lang w:val="en-US"/>
        </w:rPr>
      </w:pPr>
      <w:r>
        <w:rPr>
          <w:rFonts w:ascii="Calibri" w:eastAsia="Calibri" w:hAnsi="Calibri" w:cs="Times New Roman"/>
          <w:lang w:val="en-US"/>
        </w:rPr>
        <w:t>s</w:t>
      </w:r>
      <w:r w:rsidR="00A91218" w:rsidRPr="00350A5A">
        <w:rPr>
          <w:rFonts w:ascii="Calibri" w:eastAsia="Calibri" w:hAnsi="Calibri" w:cs="Times New Roman"/>
          <w:lang w:val="en-US"/>
        </w:rPr>
        <w:t>et</w:t>
      </w:r>
      <w:r>
        <w:rPr>
          <w:rFonts w:ascii="Calibri" w:eastAsia="Calibri" w:hAnsi="Calibri" w:cs="Times New Roman"/>
          <w:lang w:val="en-US"/>
        </w:rPr>
        <w:t>ting</w:t>
      </w:r>
      <w:r w:rsidR="00A91218" w:rsidRPr="00350A5A">
        <w:rPr>
          <w:rFonts w:ascii="Calibri" w:eastAsia="Calibri" w:hAnsi="Calibri" w:cs="Times New Roman"/>
          <w:lang w:val="en-US"/>
        </w:rPr>
        <w:t xml:space="preserve"> the rules of </w:t>
      </w:r>
      <w:r>
        <w:rPr>
          <w:rFonts w:ascii="Calibri" w:eastAsia="Calibri" w:hAnsi="Calibri" w:cs="Times New Roman"/>
          <w:lang w:val="en-US"/>
        </w:rPr>
        <w:t>the new</w:t>
      </w:r>
      <w:r w:rsidR="00A91218" w:rsidRPr="00350A5A">
        <w:rPr>
          <w:rFonts w:ascii="Calibri" w:eastAsia="Calibri" w:hAnsi="Calibri" w:cs="Times New Roman"/>
          <w:lang w:val="en-US"/>
        </w:rPr>
        <w:t xml:space="preserve"> program </w:t>
      </w:r>
    </w:p>
    <w:p w14:paraId="62EDAA51" w14:textId="35E3A912" w:rsidR="00A91218" w:rsidRPr="00350A5A" w:rsidRDefault="00350A5A" w:rsidP="00350A5A">
      <w:pPr>
        <w:numPr>
          <w:ilvl w:val="0"/>
          <w:numId w:val="33"/>
        </w:numPr>
        <w:spacing w:after="0" w:line="240" w:lineRule="auto"/>
        <w:jc w:val="both"/>
        <w:rPr>
          <w:rFonts w:ascii="Calibri" w:eastAsia="Calibri" w:hAnsi="Calibri" w:cs="Times New Roman"/>
          <w:lang w:val="en-US"/>
        </w:rPr>
      </w:pPr>
      <w:proofErr w:type="gramStart"/>
      <w:r>
        <w:rPr>
          <w:rFonts w:ascii="Calibri" w:eastAsia="Calibri" w:hAnsi="Calibri" w:cs="Times New Roman"/>
          <w:lang w:val="en-US"/>
        </w:rPr>
        <w:t>bringing</w:t>
      </w:r>
      <w:proofErr w:type="gramEnd"/>
      <w:r>
        <w:rPr>
          <w:rFonts w:ascii="Calibri" w:eastAsia="Calibri" w:hAnsi="Calibri" w:cs="Times New Roman"/>
          <w:lang w:val="en-US"/>
        </w:rPr>
        <w:t xml:space="preserve"> in and accepting issuers, independent entities, c</w:t>
      </w:r>
      <w:r w:rsidR="00A91218" w:rsidRPr="00350A5A">
        <w:rPr>
          <w:rFonts w:ascii="Calibri" w:eastAsia="Calibri" w:hAnsi="Calibri" w:cs="Times New Roman"/>
          <w:lang w:val="en-US"/>
        </w:rPr>
        <w:t xml:space="preserve">ompliers and </w:t>
      </w:r>
      <w:r>
        <w:rPr>
          <w:rFonts w:ascii="Calibri" w:eastAsia="Calibri" w:hAnsi="Calibri" w:cs="Times New Roman"/>
          <w:lang w:val="en-US"/>
        </w:rPr>
        <w:t>u</w:t>
      </w:r>
      <w:r w:rsidR="00A91218" w:rsidRPr="00350A5A">
        <w:rPr>
          <w:rFonts w:ascii="Calibri" w:eastAsia="Calibri" w:hAnsi="Calibri" w:cs="Times New Roman"/>
          <w:lang w:val="en-US"/>
        </w:rPr>
        <w:t>sers</w:t>
      </w:r>
      <w:r>
        <w:rPr>
          <w:rFonts w:ascii="Calibri" w:eastAsia="Calibri" w:hAnsi="Calibri" w:cs="Times New Roman"/>
          <w:lang w:val="en-US"/>
        </w:rPr>
        <w:t xml:space="preserve"> to perform under the new program</w:t>
      </w:r>
      <w:r w:rsidR="00A91218">
        <w:rPr>
          <w:rFonts w:ascii="Calibri" w:eastAsia="Calibri" w:hAnsi="Calibri" w:cs="Times New Roman"/>
          <w:lang w:val="en-US"/>
        </w:rPr>
        <w:t>.</w:t>
      </w:r>
    </w:p>
    <w:p w14:paraId="52ABC2EF" w14:textId="77777777" w:rsidR="00A75B42" w:rsidRDefault="00A75B42" w:rsidP="00F26CD5">
      <w:pPr>
        <w:spacing w:after="0" w:line="240" w:lineRule="auto"/>
        <w:jc w:val="both"/>
        <w:rPr>
          <w:rFonts w:ascii="Calibri" w:eastAsia="Calibri" w:hAnsi="Calibri" w:cs="Times New Roman"/>
          <w:lang w:val="en-US"/>
        </w:rPr>
      </w:pPr>
    </w:p>
    <w:p w14:paraId="22623F0A" w14:textId="42EFC21F" w:rsidR="00A91218" w:rsidRDefault="00A91218" w:rsidP="00A91218">
      <w:pPr>
        <w:spacing w:after="0" w:line="240" w:lineRule="auto"/>
        <w:jc w:val="both"/>
        <w:rPr>
          <w:rFonts w:ascii="Calibri" w:eastAsia="Calibri" w:hAnsi="Calibri" w:cs="Times New Roman"/>
          <w:lang w:val="en-US"/>
        </w:rPr>
      </w:pPr>
      <w:r w:rsidRPr="0085259E">
        <w:rPr>
          <w:rFonts w:ascii="Calibri" w:eastAsia="Calibri" w:hAnsi="Calibri" w:cs="Times New Roman"/>
          <w:lang w:val="en-US"/>
        </w:rPr>
        <w:t xml:space="preserve">Rules and requirements of </w:t>
      </w:r>
      <w:r>
        <w:rPr>
          <w:rFonts w:ascii="Calibri" w:eastAsia="Calibri" w:hAnsi="Calibri" w:cs="Times New Roman"/>
          <w:lang w:val="en-US"/>
        </w:rPr>
        <w:t>the</w:t>
      </w:r>
      <w:r w:rsidRPr="0085259E">
        <w:rPr>
          <w:rFonts w:ascii="Calibri" w:eastAsia="Calibri" w:hAnsi="Calibri" w:cs="Times New Roman"/>
          <w:lang w:val="en-US"/>
        </w:rPr>
        <w:t xml:space="preserve"> programs include standard elements: regulator (operator), verification by independent entities, limits, validity periods, tools to cover risks, market institutions (trading) etc. DAO IPCI </w:t>
      </w:r>
      <w:r w:rsidR="00594D49">
        <w:rPr>
          <w:rFonts w:ascii="Calibri" w:eastAsia="Calibri" w:hAnsi="Calibri" w:cs="Times New Roman"/>
          <w:lang w:val="en-US"/>
        </w:rPr>
        <w:t xml:space="preserve">provides </w:t>
      </w:r>
      <w:r w:rsidRPr="0085259E">
        <w:rPr>
          <w:rFonts w:ascii="Calibri" w:eastAsia="Calibri" w:hAnsi="Calibri" w:cs="Times New Roman"/>
          <w:lang w:val="en-US"/>
        </w:rPr>
        <w:t xml:space="preserve">these standard elements </w:t>
      </w:r>
      <w:r w:rsidR="00594D49">
        <w:rPr>
          <w:rFonts w:ascii="Calibri" w:eastAsia="Calibri" w:hAnsi="Calibri" w:cs="Times New Roman"/>
          <w:lang w:val="en-US"/>
        </w:rPr>
        <w:t>with integral</w:t>
      </w:r>
      <w:r w:rsidRPr="0085259E">
        <w:rPr>
          <w:rFonts w:ascii="Calibri" w:eastAsia="Calibri" w:hAnsi="Calibri" w:cs="Times New Roman"/>
          <w:lang w:val="en-US"/>
        </w:rPr>
        <w:t xml:space="preserve"> system of smart contracts, adjustable for specific program requirements.</w:t>
      </w:r>
    </w:p>
    <w:p w14:paraId="2E1931E9" w14:textId="77777777" w:rsidR="00A91218" w:rsidRDefault="00A91218" w:rsidP="00A91218">
      <w:pPr>
        <w:spacing w:after="0" w:line="240" w:lineRule="auto"/>
        <w:jc w:val="both"/>
        <w:rPr>
          <w:rFonts w:ascii="Calibri" w:eastAsia="Calibri" w:hAnsi="Calibri" w:cs="Times New Roman"/>
          <w:lang w:val="en-US"/>
        </w:rPr>
      </w:pPr>
    </w:p>
    <w:p w14:paraId="179C71DE" w14:textId="1EF67BB5" w:rsidR="00A91218" w:rsidRDefault="00A75B42" w:rsidP="00A91218">
      <w:pPr>
        <w:spacing w:after="0" w:line="240" w:lineRule="auto"/>
        <w:jc w:val="both"/>
        <w:rPr>
          <w:rFonts w:ascii="Calibri" w:eastAsia="Calibri" w:hAnsi="Calibri" w:cs="Times New Roman"/>
          <w:lang w:val="en-US"/>
        </w:rPr>
      </w:pPr>
      <w:r>
        <w:rPr>
          <w:rFonts w:ascii="Calibri" w:eastAsia="Calibri" w:hAnsi="Calibri" w:cs="Times New Roman"/>
          <w:lang w:val="en-US"/>
        </w:rPr>
        <w:t>Environmental units</w:t>
      </w:r>
      <w:r w:rsidR="00350A5A">
        <w:rPr>
          <w:rFonts w:ascii="Calibri" w:eastAsia="Calibri" w:hAnsi="Calibri" w:cs="Times New Roman"/>
          <w:lang w:val="en-US"/>
        </w:rPr>
        <w:t xml:space="preserve"> (asset-based tokens) represent the main instrument of the programs in DAO </w:t>
      </w:r>
      <w:r w:rsidR="00A91218">
        <w:rPr>
          <w:rFonts w:ascii="Calibri" w:eastAsia="Calibri" w:hAnsi="Calibri" w:cs="Times New Roman"/>
          <w:lang w:val="en-US"/>
        </w:rPr>
        <w:t xml:space="preserve">IPCI. </w:t>
      </w:r>
      <w:r w:rsidR="00A91218" w:rsidRPr="0085259E">
        <w:rPr>
          <w:rFonts w:ascii="Calibri" w:eastAsia="Calibri" w:hAnsi="Calibri" w:cs="Times New Roman"/>
          <w:lang w:val="en-US"/>
        </w:rPr>
        <w:t xml:space="preserve">Various environmental units </w:t>
      </w:r>
      <w:proofErr w:type="gramStart"/>
      <w:r w:rsidR="00A91218" w:rsidRPr="0085259E">
        <w:rPr>
          <w:rFonts w:ascii="Calibri" w:eastAsia="Calibri" w:hAnsi="Calibri" w:cs="Times New Roman"/>
          <w:lang w:val="en-US"/>
        </w:rPr>
        <w:t>are issued</w:t>
      </w:r>
      <w:proofErr w:type="gramEnd"/>
      <w:r w:rsidR="00A91218" w:rsidRPr="0085259E">
        <w:rPr>
          <w:rFonts w:ascii="Calibri" w:eastAsia="Calibri" w:hAnsi="Calibri" w:cs="Times New Roman"/>
          <w:lang w:val="en-US"/>
        </w:rPr>
        <w:t xml:space="preserve"> in DAO IPCI blockchain under rules and requirements of specific programs. These programs may </w:t>
      </w:r>
      <w:proofErr w:type="gramStart"/>
      <w:r w:rsidR="00A91218" w:rsidRPr="0085259E">
        <w:rPr>
          <w:rFonts w:ascii="Calibri" w:eastAsia="Calibri" w:hAnsi="Calibri" w:cs="Times New Roman"/>
          <w:lang w:val="en-US"/>
        </w:rPr>
        <w:t>include:</w:t>
      </w:r>
      <w:proofErr w:type="gramEnd"/>
      <w:r w:rsidR="00A91218" w:rsidRPr="0085259E">
        <w:rPr>
          <w:rFonts w:ascii="Calibri" w:eastAsia="Calibri" w:hAnsi="Calibri" w:cs="Times New Roman"/>
          <w:lang w:val="en-US"/>
        </w:rPr>
        <w:t xml:space="preserve"> mandatory, voluntary and pilot environmental market programs, emission (or effluent) trading schemes, cap-and-trade programs, offset credit, carbon tax credit-based and hybrid programs, renewable standards and renewable energy certificates-based programs, other </w:t>
      </w:r>
      <w:r w:rsidR="00594D49">
        <w:rPr>
          <w:rFonts w:ascii="Calibri" w:eastAsia="Calibri" w:hAnsi="Calibri" w:cs="Times New Roman"/>
          <w:lang w:val="en-US"/>
        </w:rPr>
        <w:t xml:space="preserve">social costs </w:t>
      </w:r>
      <w:r w:rsidR="00A91218" w:rsidRPr="0085259E">
        <w:rPr>
          <w:rFonts w:ascii="Calibri" w:eastAsia="Calibri" w:hAnsi="Calibri" w:cs="Times New Roman"/>
          <w:lang w:val="en-US"/>
        </w:rPr>
        <w:t>m</w:t>
      </w:r>
      <w:r w:rsidR="00594D49">
        <w:rPr>
          <w:rFonts w:ascii="Calibri" w:eastAsia="Calibri" w:hAnsi="Calibri" w:cs="Times New Roman"/>
          <w:lang w:val="en-US"/>
        </w:rPr>
        <w:t>itigation market-based programs</w:t>
      </w:r>
      <w:r w:rsidR="00A91218" w:rsidRPr="0085259E">
        <w:rPr>
          <w:rFonts w:ascii="Calibri" w:eastAsia="Calibri" w:hAnsi="Calibri" w:cs="Times New Roman"/>
          <w:lang w:val="en-US"/>
        </w:rPr>
        <w:t>.</w:t>
      </w:r>
    </w:p>
    <w:p w14:paraId="79D9F01A" w14:textId="77777777" w:rsidR="0053587F" w:rsidRPr="0085259E" w:rsidRDefault="0053587F" w:rsidP="00A91218">
      <w:pPr>
        <w:spacing w:after="0" w:line="240" w:lineRule="auto"/>
        <w:jc w:val="both"/>
        <w:rPr>
          <w:rFonts w:ascii="Calibri" w:eastAsia="Calibri" w:hAnsi="Calibri" w:cs="Times New Roman"/>
          <w:lang w:val="en-US"/>
        </w:rPr>
      </w:pPr>
    </w:p>
    <w:p w14:paraId="67C90A4B" w14:textId="77777777" w:rsidR="00F26CD5" w:rsidRDefault="00A91218" w:rsidP="00F26CD5">
      <w:pPr>
        <w:spacing w:after="0" w:line="240" w:lineRule="auto"/>
        <w:jc w:val="both"/>
        <w:rPr>
          <w:rFonts w:ascii="Calibri" w:eastAsia="Calibri" w:hAnsi="Calibri" w:cs="Times New Roman"/>
          <w:lang w:val="en-US"/>
        </w:rPr>
      </w:pPr>
      <w:r>
        <w:rPr>
          <w:rFonts w:ascii="Calibri" w:eastAsia="Calibri" w:hAnsi="Calibri" w:cs="Times New Roman"/>
          <w:lang w:val="en-US"/>
        </w:rPr>
        <w:t xml:space="preserve">Environmental units </w:t>
      </w:r>
      <w:proofErr w:type="gramStart"/>
      <w:r>
        <w:rPr>
          <w:rFonts w:ascii="Calibri" w:eastAsia="Calibri" w:hAnsi="Calibri" w:cs="Times New Roman"/>
          <w:lang w:val="en-US"/>
        </w:rPr>
        <w:t>are generated</w:t>
      </w:r>
      <w:proofErr w:type="gramEnd"/>
      <w:r>
        <w:rPr>
          <w:rFonts w:ascii="Calibri" w:eastAsia="Calibri" w:hAnsi="Calibri" w:cs="Times New Roman"/>
          <w:lang w:val="en-US"/>
        </w:rPr>
        <w:t xml:space="preserve"> in accordance with strictly structured procedure and distributed functions of the Issuer, the Operator and the Independent entity.</w:t>
      </w:r>
    </w:p>
    <w:p w14:paraId="269CC560" w14:textId="77777777" w:rsidR="0085259E" w:rsidRPr="0085259E" w:rsidRDefault="0085259E" w:rsidP="0085259E">
      <w:pPr>
        <w:spacing w:after="0" w:line="240" w:lineRule="auto"/>
        <w:jc w:val="both"/>
        <w:rPr>
          <w:rFonts w:ascii="Calibri" w:eastAsia="Calibri" w:hAnsi="Calibri" w:cs="Times New Roman"/>
          <w:lang w:val="en-US"/>
        </w:rPr>
      </w:pPr>
    </w:p>
    <w:p w14:paraId="674CBD74" w14:textId="77777777" w:rsidR="0085259E" w:rsidRPr="0085259E" w:rsidRDefault="0085259E" w:rsidP="0085259E">
      <w:pPr>
        <w:spacing w:after="0" w:line="240" w:lineRule="auto"/>
        <w:jc w:val="both"/>
        <w:rPr>
          <w:rFonts w:ascii="Calibri" w:eastAsia="Calibri" w:hAnsi="Calibri" w:cs="Times New Roman"/>
          <w:lang w:val="en-US"/>
        </w:rPr>
      </w:pPr>
      <w:r w:rsidRPr="0085259E">
        <w:rPr>
          <w:rFonts w:ascii="Calibri" w:eastAsia="Calibri" w:hAnsi="Calibri" w:cs="Times New Roman"/>
          <w:lang w:val="en-US"/>
        </w:rPr>
        <w:t xml:space="preserve">Environmental units </w:t>
      </w:r>
      <w:proofErr w:type="gramStart"/>
      <w:r w:rsidRPr="0085259E">
        <w:rPr>
          <w:rFonts w:ascii="Calibri" w:eastAsia="Calibri" w:hAnsi="Calibri" w:cs="Times New Roman"/>
          <w:lang w:val="en-US"/>
        </w:rPr>
        <w:t>are issued</w:t>
      </w:r>
      <w:proofErr w:type="gramEnd"/>
      <w:r w:rsidRPr="0085259E">
        <w:rPr>
          <w:rFonts w:ascii="Calibri" w:eastAsia="Calibri" w:hAnsi="Calibri" w:cs="Times New Roman"/>
          <w:lang w:val="en-US"/>
        </w:rPr>
        <w:t xml:space="preserve"> to DAO IPCI blockchain:</w:t>
      </w:r>
    </w:p>
    <w:p w14:paraId="060CF338" w14:textId="7256DF05" w:rsidR="0085259E" w:rsidRPr="00EE25A5" w:rsidRDefault="0085259E" w:rsidP="0085259E">
      <w:pPr>
        <w:numPr>
          <w:ilvl w:val="0"/>
          <w:numId w:val="10"/>
        </w:numPr>
        <w:spacing w:after="0" w:line="240" w:lineRule="auto"/>
        <w:contextualSpacing/>
        <w:jc w:val="both"/>
        <w:rPr>
          <w:rFonts w:ascii="Calibri" w:eastAsia="Times New Roman" w:hAnsi="Calibri" w:cs="Times New Roman"/>
          <w:szCs w:val="20"/>
          <w:lang w:val="en-US"/>
        </w:rPr>
      </w:pPr>
      <w:r w:rsidRPr="00EE25A5">
        <w:rPr>
          <w:rFonts w:ascii="Calibri" w:eastAsia="Times New Roman" w:hAnsi="Calibri" w:cs="Times New Roman"/>
          <w:szCs w:val="20"/>
          <w:lang w:val="en-US"/>
        </w:rPr>
        <w:t xml:space="preserve">Directly to the Issuer subject to program Operator’s approval on the grounds of verification </w:t>
      </w:r>
      <w:r w:rsidR="00594D49">
        <w:rPr>
          <w:rFonts w:ascii="Calibri" w:eastAsia="Times New Roman" w:hAnsi="Calibri" w:cs="Times New Roman"/>
          <w:szCs w:val="20"/>
          <w:lang w:val="en-US"/>
        </w:rPr>
        <w:t>by Independent Entity</w:t>
      </w:r>
      <w:r w:rsidRPr="00EE25A5">
        <w:rPr>
          <w:rFonts w:ascii="Calibri" w:eastAsia="Times New Roman" w:hAnsi="Calibri" w:cs="Times New Roman"/>
          <w:szCs w:val="20"/>
          <w:lang w:val="en-US"/>
        </w:rPr>
        <w:t>,</w:t>
      </w:r>
    </w:p>
    <w:p w14:paraId="39DB6A49" w14:textId="77777777" w:rsidR="0085259E" w:rsidRDefault="0085259E" w:rsidP="0085259E">
      <w:pPr>
        <w:numPr>
          <w:ilvl w:val="0"/>
          <w:numId w:val="10"/>
        </w:numPr>
        <w:spacing w:after="0" w:line="240" w:lineRule="auto"/>
        <w:contextualSpacing/>
        <w:jc w:val="both"/>
        <w:rPr>
          <w:rFonts w:ascii="Calibri" w:eastAsia="Times New Roman" w:hAnsi="Calibri" w:cs="Times New Roman"/>
          <w:szCs w:val="20"/>
          <w:lang w:val="en-US"/>
        </w:rPr>
      </w:pPr>
      <w:r w:rsidRPr="0085259E">
        <w:rPr>
          <w:rFonts w:ascii="Calibri" w:eastAsia="Times New Roman" w:hAnsi="Calibri" w:cs="Times New Roman"/>
          <w:szCs w:val="20"/>
          <w:lang w:val="en-US"/>
        </w:rPr>
        <w:t xml:space="preserve">On the grounds of the program Operator decision to accept </w:t>
      </w:r>
      <w:r w:rsidR="00A55395">
        <w:rPr>
          <w:rFonts w:ascii="Calibri" w:eastAsia="Times New Roman" w:hAnsi="Calibri" w:cs="Times New Roman"/>
          <w:szCs w:val="20"/>
          <w:lang w:val="en-US"/>
        </w:rPr>
        <w:t>environmental</w:t>
      </w:r>
      <w:r w:rsidRPr="0085259E">
        <w:rPr>
          <w:rFonts w:ascii="Calibri" w:eastAsia="Times New Roman" w:hAnsi="Calibri" w:cs="Times New Roman"/>
          <w:szCs w:val="20"/>
          <w:lang w:val="en-US"/>
        </w:rPr>
        <w:t xml:space="preserve"> units issued by alternative programs and accounting platforms in their original form or to convert and exchange such units for the program units subject to compliance with the program requirements and criteria and confirmed cancelation of alternative registry entries and units turnover,</w:t>
      </w:r>
    </w:p>
    <w:p w14:paraId="78D65306" w14:textId="64F54978" w:rsidR="0085259E" w:rsidRPr="00594D49" w:rsidRDefault="007E37BE" w:rsidP="00594D49">
      <w:pPr>
        <w:numPr>
          <w:ilvl w:val="0"/>
          <w:numId w:val="10"/>
        </w:numPr>
        <w:spacing w:after="0" w:line="240" w:lineRule="auto"/>
        <w:contextualSpacing/>
        <w:jc w:val="both"/>
        <w:rPr>
          <w:rFonts w:ascii="Calibri" w:eastAsia="Times New Roman" w:hAnsi="Calibri" w:cs="Times New Roman"/>
          <w:szCs w:val="20"/>
          <w:lang w:val="en-US"/>
        </w:rPr>
      </w:pPr>
      <w:r>
        <w:rPr>
          <w:rFonts w:ascii="Calibri" w:eastAsia="Times New Roman" w:hAnsi="Calibri" w:cs="Times New Roman"/>
          <w:szCs w:val="20"/>
          <w:lang w:val="en-US"/>
        </w:rPr>
        <w:t xml:space="preserve">Under collateral </w:t>
      </w:r>
      <w:r w:rsidR="00546CE7">
        <w:rPr>
          <w:rFonts w:ascii="Calibri" w:eastAsia="Times New Roman" w:hAnsi="Calibri" w:cs="Times New Roman"/>
          <w:szCs w:val="20"/>
          <w:lang w:val="en-US"/>
        </w:rPr>
        <w:t>secured at the S</w:t>
      </w:r>
      <w:r w:rsidR="00594D49">
        <w:rPr>
          <w:rFonts w:ascii="Calibri" w:eastAsia="Times New Roman" w:hAnsi="Calibri" w:cs="Times New Roman"/>
          <w:szCs w:val="20"/>
          <w:lang w:val="en-US"/>
        </w:rPr>
        <w:t>ecurity deposit contract</w:t>
      </w:r>
      <w:r w:rsidR="0085259E" w:rsidRPr="00594D49">
        <w:rPr>
          <w:rFonts w:ascii="Calibri" w:eastAsia="Times New Roman" w:hAnsi="Calibri" w:cs="Times New Roman"/>
          <w:bCs/>
          <w:szCs w:val="20"/>
          <w:lang w:val="en-US"/>
        </w:rPr>
        <w:t>.</w:t>
      </w:r>
    </w:p>
    <w:p w14:paraId="513C14B9" w14:textId="77777777" w:rsidR="0085259E" w:rsidRDefault="0085259E" w:rsidP="0085259E">
      <w:pPr>
        <w:spacing w:after="0" w:line="240" w:lineRule="auto"/>
        <w:jc w:val="both"/>
        <w:rPr>
          <w:rFonts w:ascii="Calibri" w:eastAsia="Calibri" w:hAnsi="Calibri" w:cs="Times New Roman"/>
          <w:lang w:val="en-US"/>
        </w:rPr>
      </w:pPr>
    </w:p>
    <w:p w14:paraId="08F3EDAE" w14:textId="37D58F74" w:rsidR="0085259E" w:rsidRPr="0085259E" w:rsidRDefault="0085259E" w:rsidP="0085259E">
      <w:pPr>
        <w:spacing w:after="0" w:line="240" w:lineRule="auto"/>
        <w:jc w:val="both"/>
        <w:rPr>
          <w:rFonts w:ascii="Calibri" w:eastAsia="Calibri" w:hAnsi="Calibri" w:cs="Times New Roman"/>
          <w:lang w:val="en-US"/>
        </w:rPr>
      </w:pPr>
      <w:r w:rsidRPr="0085259E">
        <w:rPr>
          <w:rFonts w:ascii="Calibri" w:eastAsia="Calibri" w:hAnsi="Calibri" w:cs="Times New Roman"/>
          <w:lang w:val="en-US"/>
        </w:rPr>
        <w:t>Issuance of environmental units</w:t>
      </w:r>
      <w:r w:rsidR="00546CE7">
        <w:rPr>
          <w:rFonts w:ascii="Calibri" w:eastAsia="Calibri" w:hAnsi="Calibri" w:cs="Times New Roman"/>
          <w:lang w:val="en-US"/>
        </w:rPr>
        <w:t xml:space="preserve"> via Security reserve contract</w:t>
      </w:r>
      <w:r w:rsidRPr="0085259E">
        <w:rPr>
          <w:rFonts w:ascii="Calibri" w:eastAsia="Calibri" w:hAnsi="Calibri" w:cs="Times New Roman"/>
          <w:lang w:val="en-US"/>
        </w:rPr>
        <w:t xml:space="preserve"> requires to reserve specific share of the </w:t>
      </w:r>
      <w:proofErr w:type="gramStart"/>
      <w:r w:rsidRPr="0085259E">
        <w:rPr>
          <w:rFonts w:ascii="Calibri" w:eastAsia="Calibri" w:hAnsi="Calibri" w:cs="Times New Roman"/>
          <w:lang w:val="en-US"/>
        </w:rPr>
        <w:t>units  for</w:t>
      </w:r>
      <w:proofErr w:type="gramEnd"/>
      <w:r w:rsidRPr="0085259E">
        <w:rPr>
          <w:rFonts w:ascii="Calibri" w:eastAsia="Calibri" w:hAnsi="Calibri" w:cs="Times New Roman"/>
          <w:lang w:val="en-US"/>
        </w:rPr>
        <w:t xml:space="preserve"> specific period, established by the Operator on the grounds of independent assessment of related risks. The units </w:t>
      </w:r>
      <w:proofErr w:type="gramStart"/>
      <w:r w:rsidRPr="0085259E">
        <w:rPr>
          <w:rFonts w:ascii="Calibri" w:eastAsia="Calibri" w:hAnsi="Calibri" w:cs="Times New Roman"/>
          <w:lang w:val="en-US"/>
        </w:rPr>
        <w:t>would be burnt</w:t>
      </w:r>
      <w:proofErr w:type="gramEnd"/>
      <w:r w:rsidRPr="0085259E">
        <w:rPr>
          <w:rFonts w:ascii="Calibri" w:eastAsia="Calibri" w:hAnsi="Calibri" w:cs="Times New Roman"/>
          <w:lang w:val="en-US"/>
        </w:rPr>
        <w:t xml:space="preserve"> (retired) </w:t>
      </w:r>
      <w:r w:rsidR="00C63465" w:rsidRPr="0085259E">
        <w:rPr>
          <w:rFonts w:ascii="Calibri" w:eastAsia="Calibri" w:hAnsi="Calibri" w:cs="Times New Roman"/>
          <w:lang w:val="en-US"/>
        </w:rPr>
        <w:t>i</w:t>
      </w:r>
      <w:r w:rsidR="00C63465">
        <w:rPr>
          <w:rFonts w:ascii="Calibri" w:eastAsia="Calibri" w:hAnsi="Calibri" w:cs="Times New Roman"/>
          <w:lang w:val="en-US"/>
        </w:rPr>
        <w:t>n</w:t>
      </w:r>
      <w:r w:rsidR="00C63465" w:rsidRPr="0085259E">
        <w:rPr>
          <w:rFonts w:ascii="Calibri" w:eastAsia="Calibri" w:hAnsi="Calibri" w:cs="Times New Roman"/>
          <w:lang w:val="en-US"/>
        </w:rPr>
        <w:t xml:space="preserve"> </w:t>
      </w:r>
      <w:r w:rsidRPr="0085259E">
        <w:rPr>
          <w:rFonts w:ascii="Calibri" w:eastAsia="Calibri" w:hAnsi="Calibri" w:cs="Times New Roman"/>
          <w:lang w:val="en-US"/>
        </w:rPr>
        <w:t xml:space="preserve">case they are recognized as void, so that total amount of digital environmental units issued to the platform would in any event be equivalent to underlying. After the </w:t>
      </w:r>
      <w:r w:rsidRPr="0085259E">
        <w:rPr>
          <w:rFonts w:ascii="Calibri" w:eastAsia="Calibri" w:hAnsi="Calibri" w:cs="Times New Roman"/>
          <w:lang w:val="en-US"/>
        </w:rPr>
        <w:lastRenderedPageBreak/>
        <w:t xml:space="preserve">reservation period is over the units </w:t>
      </w:r>
      <w:proofErr w:type="gramStart"/>
      <w:r w:rsidRPr="0085259E">
        <w:rPr>
          <w:rFonts w:ascii="Calibri" w:eastAsia="Calibri" w:hAnsi="Calibri" w:cs="Times New Roman"/>
          <w:lang w:val="en-US"/>
        </w:rPr>
        <w:t>are returned</w:t>
      </w:r>
      <w:proofErr w:type="gramEnd"/>
      <w:r w:rsidRPr="0085259E">
        <w:rPr>
          <w:rFonts w:ascii="Calibri" w:eastAsia="Calibri" w:hAnsi="Calibri" w:cs="Times New Roman"/>
          <w:lang w:val="en-US"/>
        </w:rPr>
        <w:t xml:space="preserve"> to </w:t>
      </w:r>
      <w:r w:rsidR="00546CE7">
        <w:rPr>
          <w:rFonts w:ascii="Calibri" w:eastAsia="Calibri" w:hAnsi="Calibri" w:cs="Times New Roman"/>
          <w:lang w:val="en-US"/>
        </w:rPr>
        <w:t>the Issuer’s account. Security reserve c</w:t>
      </w:r>
      <w:r w:rsidRPr="0085259E">
        <w:rPr>
          <w:rFonts w:ascii="Calibri" w:eastAsia="Calibri" w:hAnsi="Calibri" w:cs="Times New Roman"/>
          <w:lang w:val="en-US"/>
        </w:rPr>
        <w:t xml:space="preserve">ontract </w:t>
      </w:r>
      <w:proofErr w:type="gramStart"/>
      <w:r w:rsidRPr="0085259E">
        <w:rPr>
          <w:rFonts w:ascii="Calibri" w:eastAsia="Calibri" w:hAnsi="Calibri" w:cs="Times New Roman"/>
          <w:lang w:val="en-US"/>
        </w:rPr>
        <w:t>may be used</w:t>
      </w:r>
      <w:proofErr w:type="gramEnd"/>
      <w:r w:rsidRPr="0085259E">
        <w:rPr>
          <w:rFonts w:ascii="Calibri" w:eastAsia="Calibri" w:hAnsi="Calibri" w:cs="Times New Roman"/>
          <w:lang w:val="en-US"/>
        </w:rPr>
        <w:t xml:space="preserve"> to withhold environmental units in order to avoid or correct input issuance dat</w:t>
      </w:r>
      <w:r w:rsidR="00546CE7">
        <w:rPr>
          <w:rFonts w:ascii="Calibri" w:eastAsia="Calibri" w:hAnsi="Calibri" w:cs="Times New Roman"/>
          <w:lang w:val="en-US"/>
        </w:rPr>
        <w:t>a</w:t>
      </w:r>
      <w:r w:rsidRPr="0085259E">
        <w:rPr>
          <w:rFonts w:ascii="Calibri" w:eastAsia="Calibri" w:hAnsi="Calibri" w:cs="Times New Roman"/>
          <w:lang w:val="en-US"/>
        </w:rPr>
        <w:t xml:space="preserve"> mistakes.</w:t>
      </w:r>
    </w:p>
    <w:p w14:paraId="10F1D1FA" w14:textId="77777777" w:rsidR="0085259E" w:rsidRPr="0085259E" w:rsidRDefault="0085259E" w:rsidP="0085259E">
      <w:pPr>
        <w:spacing w:after="0" w:line="240" w:lineRule="auto"/>
        <w:ind w:firstLine="720"/>
        <w:jc w:val="both"/>
        <w:rPr>
          <w:rFonts w:ascii="Calibri" w:eastAsia="Calibri" w:hAnsi="Calibri" w:cs="Times New Roman"/>
          <w:lang w:val="en-US"/>
        </w:rPr>
      </w:pPr>
    </w:p>
    <w:p w14:paraId="642AC4EE" w14:textId="77777777" w:rsidR="004E1E47" w:rsidRPr="00EE25A5" w:rsidRDefault="004E1E47" w:rsidP="0085259E">
      <w:pPr>
        <w:spacing w:after="0" w:line="240" w:lineRule="auto"/>
        <w:jc w:val="both"/>
        <w:rPr>
          <w:rFonts w:ascii="Calibri" w:eastAsia="Calibri" w:hAnsi="Calibri" w:cs="Times New Roman"/>
          <w:lang w:val="en-US"/>
        </w:rPr>
      </w:pPr>
      <w:r>
        <w:rPr>
          <w:rFonts w:ascii="Calibri" w:eastAsia="Calibri" w:hAnsi="Calibri" w:cs="Times New Roman"/>
          <w:lang w:val="en-US"/>
        </w:rPr>
        <w:t>DAO IPCI current procedure to issue assured or verified environmental mitigation units includes the following coordinated ste</w:t>
      </w:r>
      <w:r w:rsidR="00A91218">
        <w:rPr>
          <w:rFonts w:ascii="Calibri" w:eastAsia="Calibri" w:hAnsi="Calibri" w:cs="Times New Roman"/>
          <w:lang w:val="en-US"/>
        </w:rPr>
        <w:t xml:space="preserve">ps by the </w:t>
      </w:r>
      <w:r w:rsidR="00A91218" w:rsidRPr="00EE25A5">
        <w:rPr>
          <w:rFonts w:ascii="Calibri" w:eastAsia="Calibri" w:hAnsi="Calibri" w:cs="Times New Roman"/>
          <w:lang w:val="en-US"/>
        </w:rPr>
        <w:t>Issuer, Operator and I</w:t>
      </w:r>
      <w:r w:rsidRPr="00EE25A5">
        <w:rPr>
          <w:rFonts w:ascii="Calibri" w:eastAsia="Calibri" w:hAnsi="Calibri" w:cs="Times New Roman"/>
          <w:lang w:val="en-US"/>
        </w:rPr>
        <w:t>ndependent entity:</w:t>
      </w:r>
    </w:p>
    <w:p w14:paraId="57D1C8DC" w14:textId="77777777" w:rsidR="00E268FE" w:rsidRPr="00EE25A5" w:rsidRDefault="00E268FE" w:rsidP="004E1E47">
      <w:pPr>
        <w:numPr>
          <w:ilvl w:val="0"/>
          <w:numId w:val="31"/>
        </w:numPr>
        <w:spacing w:after="0" w:line="240" w:lineRule="auto"/>
        <w:jc w:val="both"/>
        <w:rPr>
          <w:rFonts w:ascii="Calibri" w:eastAsia="Calibri" w:hAnsi="Calibri" w:cs="Times New Roman"/>
          <w:lang w:val="en-US"/>
        </w:rPr>
      </w:pPr>
      <w:r w:rsidRPr="00EE25A5">
        <w:rPr>
          <w:rFonts w:ascii="Calibri" w:eastAsia="Calibri" w:hAnsi="Calibri" w:cs="Times New Roman"/>
          <w:lang w:val="en-US"/>
        </w:rPr>
        <w:t>The Issuer creates registry</w:t>
      </w:r>
      <w:r w:rsidR="004E1E47" w:rsidRPr="00EE25A5">
        <w:rPr>
          <w:rFonts w:ascii="Calibri" w:eastAsia="Calibri" w:hAnsi="Calibri" w:cs="Times New Roman"/>
          <w:lang w:val="en-US"/>
        </w:rPr>
        <w:t xml:space="preserve"> for particular units</w:t>
      </w:r>
      <w:r w:rsidRPr="00EE25A5">
        <w:rPr>
          <w:rFonts w:ascii="Calibri" w:eastAsia="Calibri" w:hAnsi="Calibri" w:cs="Times New Roman"/>
          <w:lang w:val="en-US"/>
        </w:rPr>
        <w:t xml:space="preserve"> and</w:t>
      </w:r>
      <w:r w:rsidR="004E1E47" w:rsidRPr="00EE25A5">
        <w:rPr>
          <w:rFonts w:ascii="Calibri" w:eastAsia="Calibri" w:hAnsi="Calibri" w:cs="Times New Roman"/>
          <w:lang w:val="en-US"/>
        </w:rPr>
        <w:t xml:space="preserve"> security reserve or security deposit </w:t>
      </w:r>
      <w:r w:rsidRPr="00EE25A5">
        <w:rPr>
          <w:rFonts w:ascii="Calibri" w:eastAsia="Calibri" w:hAnsi="Calibri" w:cs="Times New Roman"/>
          <w:lang w:val="en-US"/>
        </w:rPr>
        <w:t>contract, assigns Independent entity</w:t>
      </w:r>
    </w:p>
    <w:p w14:paraId="26137711" w14:textId="77777777" w:rsidR="00E268FE" w:rsidRPr="00EE25A5" w:rsidRDefault="00E268FE" w:rsidP="004E1E47">
      <w:pPr>
        <w:numPr>
          <w:ilvl w:val="0"/>
          <w:numId w:val="31"/>
        </w:numPr>
        <w:spacing w:after="0" w:line="240" w:lineRule="auto"/>
        <w:jc w:val="both"/>
        <w:rPr>
          <w:rFonts w:ascii="Calibri" w:eastAsia="Calibri" w:hAnsi="Calibri" w:cs="Times New Roman"/>
          <w:lang w:val="en-US"/>
        </w:rPr>
      </w:pPr>
      <w:r w:rsidRPr="00EE25A5">
        <w:rPr>
          <w:rFonts w:ascii="Calibri" w:eastAsia="Calibri" w:hAnsi="Calibri" w:cs="Times New Roman"/>
          <w:lang w:val="en-US"/>
        </w:rPr>
        <w:t>The Operator adds registry and contract to DAO Core, and lists the Independent entity</w:t>
      </w:r>
    </w:p>
    <w:p w14:paraId="53CB842B" w14:textId="77777777" w:rsidR="00E268FE" w:rsidRPr="00EE25A5" w:rsidRDefault="00E268FE" w:rsidP="004E1E47">
      <w:pPr>
        <w:numPr>
          <w:ilvl w:val="0"/>
          <w:numId w:val="31"/>
        </w:numPr>
        <w:spacing w:after="0" w:line="240" w:lineRule="auto"/>
        <w:jc w:val="both"/>
        <w:rPr>
          <w:rFonts w:ascii="Calibri" w:eastAsia="Calibri" w:hAnsi="Calibri" w:cs="Times New Roman"/>
          <w:lang w:val="en-US"/>
        </w:rPr>
      </w:pPr>
      <w:r w:rsidRPr="00EE25A5">
        <w:rPr>
          <w:rFonts w:ascii="Calibri" w:eastAsia="Calibri" w:hAnsi="Calibri" w:cs="Times New Roman"/>
          <w:lang w:val="en-US"/>
        </w:rPr>
        <w:t xml:space="preserve">The Operator sets limit, validity period, </w:t>
      </w:r>
      <w:r w:rsidR="004E1E47" w:rsidRPr="00EE25A5">
        <w:rPr>
          <w:rFonts w:ascii="Calibri" w:eastAsia="Calibri" w:hAnsi="Calibri" w:cs="Times New Roman"/>
          <w:lang w:val="en-US"/>
        </w:rPr>
        <w:t xml:space="preserve">security </w:t>
      </w:r>
      <w:r w:rsidRPr="00EE25A5">
        <w:rPr>
          <w:rFonts w:ascii="Calibri" w:eastAsia="Calibri" w:hAnsi="Calibri" w:cs="Times New Roman"/>
          <w:lang w:val="en-US"/>
        </w:rPr>
        <w:t>deposit</w:t>
      </w:r>
      <w:r w:rsidR="004E1E47" w:rsidRPr="00EE25A5">
        <w:rPr>
          <w:rFonts w:ascii="Calibri" w:eastAsia="Calibri" w:hAnsi="Calibri" w:cs="Times New Roman"/>
          <w:lang w:val="en-US"/>
        </w:rPr>
        <w:t xml:space="preserve"> contract</w:t>
      </w:r>
      <w:r w:rsidRPr="00EE25A5">
        <w:rPr>
          <w:rFonts w:ascii="Calibri" w:eastAsia="Calibri" w:hAnsi="Calibri" w:cs="Times New Roman"/>
          <w:lang w:val="en-US"/>
        </w:rPr>
        <w:t xml:space="preserve"> parameters</w:t>
      </w:r>
    </w:p>
    <w:p w14:paraId="419A39EA" w14:textId="77777777" w:rsidR="00E268FE" w:rsidRPr="00EE25A5" w:rsidRDefault="00E268FE" w:rsidP="004E1E47">
      <w:pPr>
        <w:numPr>
          <w:ilvl w:val="0"/>
          <w:numId w:val="31"/>
        </w:numPr>
        <w:spacing w:after="0" w:line="240" w:lineRule="auto"/>
        <w:jc w:val="both"/>
        <w:rPr>
          <w:rFonts w:ascii="Calibri" w:eastAsia="Calibri" w:hAnsi="Calibri" w:cs="Times New Roman"/>
          <w:lang w:val="en-US"/>
        </w:rPr>
      </w:pPr>
      <w:r w:rsidRPr="00EE25A5">
        <w:rPr>
          <w:rFonts w:ascii="Calibri" w:eastAsia="Calibri" w:hAnsi="Calibri" w:cs="Times New Roman"/>
          <w:lang w:val="en-US"/>
        </w:rPr>
        <w:t xml:space="preserve">The Independent entity sets reservation period and percentage </w:t>
      </w:r>
    </w:p>
    <w:p w14:paraId="54ACAD1C" w14:textId="77777777" w:rsidR="00F15DF5" w:rsidRPr="00EE25A5" w:rsidRDefault="00E268FE" w:rsidP="004E1E47">
      <w:pPr>
        <w:numPr>
          <w:ilvl w:val="0"/>
          <w:numId w:val="31"/>
        </w:numPr>
        <w:spacing w:after="0" w:line="240" w:lineRule="auto"/>
        <w:jc w:val="both"/>
        <w:rPr>
          <w:rFonts w:ascii="Calibri" w:eastAsia="Calibri" w:hAnsi="Calibri" w:cs="Times New Roman"/>
          <w:lang w:val="en-US"/>
        </w:rPr>
      </w:pPr>
      <w:r w:rsidRPr="00EE25A5">
        <w:rPr>
          <w:rFonts w:ascii="Calibri" w:eastAsia="Calibri" w:hAnsi="Calibri" w:cs="Times New Roman"/>
          <w:lang w:val="en-US"/>
        </w:rPr>
        <w:t>The Independent entity issues verified units</w:t>
      </w:r>
      <w:r w:rsidR="00F15DF5" w:rsidRPr="00EE25A5">
        <w:rPr>
          <w:rFonts w:ascii="Calibri" w:eastAsia="Calibri" w:hAnsi="Calibri" w:cs="Times New Roman"/>
          <w:lang w:val="en-US"/>
        </w:rPr>
        <w:t xml:space="preserve"> or units secured by collateral deposit </w:t>
      </w:r>
      <w:r w:rsidRPr="00EE25A5">
        <w:rPr>
          <w:rFonts w:ascii="Calibri" w:eastAsia="Calibri" w:hAnsi="Calibri" w:cs="Times New Roman"/>
          <w:lang w:val="en-US"/>
        </w:rPr>
        <w:t>and transfers them to the Issuer</w:t>
      </w:r>
      <w:r w:rsidR="00F15DF5" w:rsidRPr="00EE25A5">
        <w:rPr>
          <w:rFonts w:ascii="Calibri" w:eastAsia="Calibri" w:hAnsi="Calibri" w:cs="Times New Roman"/>
          <w:lang w:val="en-US"/>
        </w:rPr>
        <w:t>.</w:t>
      </w:r>
    </w:p>
    <w:p w14:paraId="7F79E29C" w14:textId="506E0528" w:rsidR="009260F3" w:rsidRDefault="009260F3" w:rsidP="00F15DF5">
      <w:pPr>
        <w:spacing w:after="0" w:line="240" w:lineRule="auto"/>
        <w:jc w:val="both"/>
        <w:rPr>
          <w:rFonts w:ascii="Calibri" w:eastAsia="Calibri" w:hAnsi="Calibri" w:cs="Times New Roman"/>
          <w:lang w:val="en-US"/>
        </w:rPr>
      </w:pPr>
    </w:p>
    <w:p w14:paraId="01F779E7" w14:textId="470009AC" w:rsidR="00E268FE" w:rsidRDefault="00F15DF5" w:rsidP="00F15DF5">
      <w:pPr>
        <w:spacing w:after="0" w:line="240" w:lineRule="auto"/>
        <w:jc w:val="both"/>
        <w:rPr>
          <w:rFonts w:ascii="Calibri" w:eastAsia="Calibri" w:hAnsi="Calibri" w:cs="Times New Roman"/>
          <w:lang w:val="en-US"/>
        </w:rPr>
      </w:pPr>
      <w:r>
        <w:rPr>
          <w:rFonts w:ascii="Calibri" w:eastAsia="Calibri" w:hAnsi="Calibri" w:cs="Times New Roman"/>
          <w:lang w:val="en-US"/>
        </w:rPr>
        <w:t>The units then can transferred, traded or used for compliance</w:t>
      </w:r>
      <w:r w:rsidR="00594D49">
        <w:rPr>
          <w:rFonts w:ascii="Calibri" w:eastAsia="Calibri" w:hAnsi="Calibri" w:cs="Times New Roman"/>
          <w:lang w:val="en-US"/>
        </w:rPr>
        <w:t>, i.e. retired</w:t>
      </w:r>
      <w:r>
        <w:rPr>
          <w:rFonts w:ascii="Calibri" w:eastAsia="Calibri" w:hAnsi="Calibri" w:cs="Times New Roman"/>
          <w:lang w:val="en-US"/>
        </w:rPr>
        <w:t>.</w:t>
      </w:r>
      <w:r w:rsidR="00E268FE" w:rsidRPr="004E1E47">
        <w:rPr>
          <w:rFonts w:ascii="Calibri" w:eastAsia="Calibri" w:hAnsi="Calibri" w:cs="Times New Roman"/>
          <w:lang w:val="en-US"/>
        </w:rPr>
        <w:t xml:space="preserve"> </w:t>
      </w:r>
    </w:p>
    <w:p w14:paraId="27C89CC9" w14:textId="77777777" w:rsidR="00AB0968" w:rsidRDefault="00AB0968" w:rsidP="00F15DF5">
      <w:pPr>
        <w:spacing w:after="0" w:line="240" w:lineRule="auto"/>
        <w:jc w:val="both"/>
        <w:rPr>
          <w:rFonts w:ascii="Calibri" w:eastAsia="Calibri" w:hAnsi="Calibri" w:cs="Times New Roman"/>
          <w:lang w:val="en-US"/>
        </w:rPr>
      </w:pPr>
    </w:p>
    <w:p w14:paraId="091738CA" w14:textId="2E16982D" w:rsidR="00AB0968" w:rsidRPr="00AB0968" w:rsidRDefault="00AB0968" w:rsidP="00AB0968">
      <w:pPr>
        <w:spacing w:after="0" w:line="240" w:lineRule="auto"/>
        <w:rPr>
          <w:rFonts w:ascii="Calibri" w:eastAsia="Calibri" w:hAnsi="Calibri" w:cs="Times New Roman"/>
          <w:lang w:val="en-US"/>
        </w:rPr>
      </w:pPr>
      <w:r>
        <w:rPr>
          <w:rFonts w:ascii="Calibri" w:eastAsia="Calibri" w:hAnsi="Calibri" w:cs="Times New Roman"/>
          <w:b/>
          <w:i/>
          <w:lang w:val="en-US"/>
        </w:rPr>
        <w:t xml:space="preserve">Figure </w:t>
      </w:r>
      <w:proofErr w:type="gramStart"/>
      <w:r>
        <w:rPr>
          <w:rFonts w:ascii="Calibri" w:eastAsia="Calibri" w:hAnsi="Calibri" w:cs="Times New Roman"/>
          <w:b/>
          <w:i/>
          <w:lang w:val="en-US"/>
        </w:rPr>
        <w:t>7</w:t>
      </w:r>
      <w:proofErr w:type="gramEnd"/>
      <w:r w:rsidRPr="00AB0968">
        <w:rPr>
          <w:rFonts w:ascii="Calibri" w:eastAsia="Calibri" w:hAnsi="Calibri" w:cs="Times New Roman"/>
          <w:b/>
          <w:i/>
          <w:lang w:val="en-US"/>
        </w:rPr>
        <w:t xml:space="preserve"> – Issuance of the tokens representing mitigation instruments (environmental units)</w:t>
      </w:r>
      <w:r w:rsidRPr="00AB0968">
        <w:rPr>
          <w:rFonts w:ascii="Calibri" w:eastAsia="Calibri" w:hAnsi="Calibri" w:cs="Times New Roman"/>
          <w:lang w:val="en-US"/>
        </w:rPr>
        <w:drawing>
          <wp:inline distT="0" distB="0" distL="0" distR="0" wp14:anchorId="5AEA629E" wp14:editId="6CD61AF1">
            <wp:extent cx="5943600" cy="3505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505200"/>
                    </a:xfrm>
                    <a:prstGeom prst="rect">
                      <a:avLst/>
                    </a:prstGeom>
                    <a:noFill/>
                    <a:ln>
                      <a:noFill/>
                    </a:ln>
                  </pic:spPr>
                </pic:pic>
              </a:graphicData>
            </a:graphic>
          </wp:inline>
        </w:drawing>
      </w:r>
    </w:p>
    <w:p w14:paraId="563388E9" w14:textId="77777777" w:rsidR="00AB0968" w:rsidRDefault="00AB0968" w:rsidP="009260F3">
      <w:pPr>
        <w:spacing w:after="0" w:line="240" w:lineRule="auto"/>
        <w:jc w:val="both"/>
        <w:rPr>
          <w:lang w:val="en-US"/>
        </w:rPr>
      </w:pPr>
    </w:p>
    <w:p w14:paraId="0A6DC5EB" w14:textId="77777777" w:rsidR="009260F3" w:rsidRPr="009A1241" w:rsidRDefault="009260F3" w:rsidP="009260F3">
      <w:pPr>
        <w:spacing w:after="0" w:line="240" w:lineRule="auto"/>
        <w:jc w:val="both"/>
        <w:rPr>
          <w:lang w:val="en-US"/>
        </w:rPr>
      </w:pPr>
      <w:r w:rsidRPr="009A1241">
        <w:rPr>
          <w:lang w:val="en-US"/>
        </w:rPr>
        <w:t xml:space="preserve">Apart of the environmental units’ issuance protocol, the following </w:t>
      </w:r>
      <w:r>
        <w:rPr>
          <w:lang w:val="en-US"/>
        </w:rPr>
        <w:t xml:space="preserve">DAO IPCI </w:t>
      </w:r>
      <w:r w:rsidRPr="009A1241">
        <w:rPr>
          <w:lang w:val="en-US"/>
        </w:rPr>
        <w:t>modules and operations are in place:</w:t>
      </w:r>
    </w:p>
    <w:p w14:paraId="304E7A20" w14:textId="77777777" w:rsidR="009260F3" w:rsidRPr="009A1241" w:rsidRDefault="009260F3" w:rsidP="009260F3">
      <w:pPr>
        <w:numPr>
          <w:ilvl w:val="0"/>
          <w:numId w:val="31"/>
        </w:numPr>
        <w:spacing w:after="0" w:line="240" w:lineRule="auto"/>
        <w:jc w:val="both"/>
        <w:rPr>
          <w:rFonts w:ascii="Calibri" w:eastAsia="Calibri" w:hAnsi="Calibri" w:cs="Times New Roman"/>
          <w:lang w:val="en-US"/>
        </w:rPr>
      </w:pPr>
      <w:r w:rsidRPr="009A1241">
        <w:rPr>
          <w:rFonts w:ascii="Calibri" w:eastAsia="Calibri" w:hAnsi="Calibri" w:cs="Times New Roman"/>
          <w:lang w:val="en-US"/>
        </w:rPr>
        <w:t xml:space="preserve">Transfer of the units, </w:t>
      </w:r>
    </w:p>
    <w:p w14:paraId="4DAFE87A" w14:textId="77777777" w:rsidR="009260F3" w:rsidRPr="009A1241" w:rsidRDefault="009260F3" w:rsidP="009260F3">
      <w:pPr>
        <w:numPr>
          <w:ilvl w:val="0"/>
          <w:numId w:val="31"/>
        </w:numPr>
        <w:spacing w:after="0" w:line="240" w:lineRule="auto"/>
        <w:jc w:val="both"/>
        <w:rPr>
          <w:rFonts w:ascii="Calibri" w:eastAsia="Calibri" w:hAnsi="Calibri" w:cs="Times New Roman"/>
          <w:lang w:val="en-US"/>
        </w:rPr>
      </w:pPr>
      <w:r w:rsidRPr="009A1241">
        <w:rPr>
          <w:rFonts w:ascii="Calibri" w:eastAsia="Calibri" w:hAnsi="Calibri" w:cs="Times New Roman"/>
          <w:lang w:val="en-US"/>
        </w:rPr>
        <w:t>Burning (retirement) of the units for compliance, e.g. to offset specific goods and services carbon footprint, at the Complier contract,</w:t>
      </w:r>
    </w:p>
    <w:p w14:paraId="70767BC4" w14:textId="77777777" w:rsidR="009260F3" w:rsidRPr="009A1241" w:rsidRDefault="009260F3" w:rsidP="009260F3">
      <w:pPr>
        <w:numPr>
          <w:ilvl w:val="0"/>
          <w:numId w:val="31"/>
        </w:numPr>
        <w:spacing w:after="0" w:line="240" w:lineRule="auto"/>
        <w:jc w:val="both"/>
        <w:rPr>
          <w:rFonts w:ascii="Calibri" w:eastAsia="Calibri" w:hAnsi="Calibri" w:cs="Times New Roman"/>
          <w:lang w:val="en-US"/>
        </w:rPr>
      </w:pPr>
      <w:r w:rsidRPr="009A1241">
        <w:rPr>
          <w:rFonts w:ascii="Calibri" w:eastAsia="Calibri" w:hAnsi="Calibri" w:cs="Times New Roman"/>
          <w:lang w:val="en-US"/>
        </w:rPr>
        <w:t xml:space="preserve">Reservation, return and withdrawal of the units withheld at Security reserve and Security deposit contracts,  </w:t>
      </w:r>
    </w:p>
    <w:p w14:paraId="0C76FA2E" w14:textId="77777777" w:rsidR="003B489B" w:rsidRPr="003B489B" w:rsidRDefault="009260F3" w:rsidP="009260F3">
      <w:pPr>
        <w:numPr>
          <w:ilvl w:val="0"/>
          <w:numId w:val="31"/>
        </w:numPr>
        <w:spacing w:after="0" w:line="240" w:lineRule="auto"/>
        <w:jc w:val="both"/>
        <w:rPr>
          <w:rFonts w:ascii="Calibri" w:eastAsia="Calibri" w:hAnsi="Calibri" w:cs="Times New Roman"/>
          <w:lang w:val="en-US"/>
        </w:rPr>
      </w:pPr>
      <w:r w:rsidRPr="009A1241">
        <w:rPr>
          <w:rFonts w:ascii="Calibri" w:eastAsia="Calibri" w:hAnsi="Calibri" w:cs="Times New Roman"/>
          <w:lang w:val="en-US"/>
        </w:rPr>
        <w:t>Placing and executing sell/buy orders at MITO Market</w:t>
      </w:r>
      <w:r w:rsidR="00BE61DF">
        <w:rPr>
          <w:rFonts w:ascii="Calibri" w:eastAsia="Calibri" w:hAnsi="Calibri" w:cs="Times New Roman"/>
          <w:lang w:val="en-US"/>
        </w:rPr>
        <w:t>,</w:t>
      </w:r>
    </w:p>
    <w:p w14:paraId="4B686072" w14:textId="77777777" w:rsidR="00BE61DF" w:rsidRDefault="003B489B" w:rsidP="009260F3">
      <w:pPr>
        <w:numPr>
          <w:ilvl w:val="0"/>
          <w:numId w:val="31"/>
        </w:numPr>
        <w:spacing w:after="0" w:line="240" w:lineRule="auto"/>
        <w:jc w:val="both"/>
        <w:rPr>
          <w:rFonts w:ascii="Calibri" w:eastAsia="Calibri" w:hAnsi="Calibri" w:cs="Times New Roman"/>
          <w:lang w:val="en-US"/>
        </w:rPr>
      </w:pPr>
      <w:r>
        <w:rPr>
          <w:rFonts w:ascii="Calibri" w:eastAsia="Calibri" w:hAnsi="Calibri" w:cs="Times New Roman"/>
          <w:lang w:val="en-US"/>
        </w:rPr>
        <w:t xml:space="preserve">Uploading the documents </w:t>
      </w:r>
      <w:r w:rsidR="00BE61DF">
        <w:rPr>
          <w:rFonts w:ascii="Calibri" w:eastAsia="Calibri" w:hAnsi="Calibri" w:cs="Times New Roman"/>
          <w:lang w:val="en-US"/>
        </w:rPr>
        <w:t xml:space="preserve">to IPFS </w:t>
      </w:r>
      <w:r>
        <w:rPr>
          <w:rFonts w:ascii="Calibri" w:eastAsia="Calibri" w:hAnsi="Calibri" w:cs="Times New Roman"/>
          <w:lang w:val="en-US"/>
        </w:rPr>
        <w:t>to confirm and justify transactions</w:t>
      </w:r>
      <w:r w:rsidR="00BE61DF">
        <w:rPr>
          <w:rFonts w:ascii="Calibri" w:eastAsia="Calibri" w:hAnsi="Calibri" w:cs="Times New Roman"/>
          <w:lang w:val="en-US"/>
        </w:rPr>
        <w:t>,</w:t>
      </w:r>
    </w:p>
    <w:p w14:paraId="7E48D5EB" w14:textId="77777777" w:rsidR="0078296D" w:rsidRDefault="0078296D" w:rsidP="009260F3">
      <w:pPr>
        <w:numPr>
          <w:ilvl w:val="0"/>
          <w:numId w:val="31"/>
        </w:numPr>
        <w:spacing w:after="0" w:line="240" w:lineRule="auto"/>
        <w:jc w:val="both"/>
        <w:rPr>
          <w:rFonts w:ascii="Calibri" w:eastAsia="Calibri" w:hAnsi="Calibri" w:cs="Times New Roman"/>
          <w:lang w:val="en-US"/>
        </w:rPr>
      </w:pPr>
      <w:r>
        <w:rPr>
          <w:rFonts w:ascii="Calibri" w:eastAsia="Calibri" w:hAnsi="Calibri" w:cs="Times New Roman"/>
          <w:lang w:val="en-US"/>
        </w:rPr>
        <w:t>Optional identification of the agents (program participants),</w:t>
      </w:r>
    </w:p>
    <w:p w14:paraId="4B4396C6" w14:textId="77777777" w:rsidR="009260F3" w:rsidRPr="009A1241" w:rsidRDefault="0078296D" w:rsidP="009260F3">
      <w:pPr>
        <w:numPr>
          <w:ilvl w:val="0"/>
          <w:numId w:val="31"/>
        </w:numPr>
        <w:spacing w:after="0" w:line="240" w:lineRule="auto"/>
        <w:jc w:val="both"/>
        <w:rPr>
          <w:rFonts w:ascii="Calibri" w:eastAsia="Calibri" w:hAnsi="Calibri" w:cs="Times New Roman"/>
          <w:lang w:val="en-US"/>
        </w:rPr>
      </w:pPr>
      <w:r>
        <w:rPr>
          <w:rFonts w:ascii="Calibri" w:eastAsia="Calibri" w:hAnsi="Calibri" w:cs="Times New Roman"/>
          <w:lang w:val="en-US"/>
        </w:rPr>
        <w:t>Tracking transaction history (log)</w:t>
      </w:r>
      <w:r w:rsidR="009260F3" w:rsidRPr="009A1241">
        <w:rPr>
          <w:rFonts w:ascii="Calibri" w:eastAsia="Calibri" w:hAnsi="Calibri" w:cs="Times New Roman"/>
          <w:lang w:val="en-US"/>
        </w:rPr>
        <w:t>.</w:t>
      </w:r>
    </w:p>
    <w:p w14:paraId="33A1D1CA" w14:textId="77777777" w:rsidR="004E1E47" w:rsidRDefault="004E1E47" w:rsidP="0085259E">
      <w:pPr>
        <w:spacing w:after="0" w:line="240" w:lineRule="auto"/>
        <w:jc w:val="both"/>
        <w:rPr>
          <w:rFonts w:ascii="Calibri" w:eastAsia="Calibri" w:hAnsi="Calibri" w:cs="Times New Roman"/>
          <w:lang w:val="en-US"/>
        </w:rPr>
      </w:pPr>
    </w:p>
    <w:p w14:paraId="4F7D8E7D" w14:textId="77777777" w:rsidR="00414ED3" w:rsidRDefault="00414ED3">
      <w:pPr>
        <w:rPr>
          <w:rFonts w:eastAsiaTheme="minorEastAsia"/>
          <w:color w:val="5A5A5A" w:themeColor="text1" w:themeTint="A5"/>
          <w:spacing w:val="15"/>
          <w:lang w:val="en-US"/>
        </w:rPr>
      </w:pPr>
      <w:r>
        <w:rPr>
          <w:lang w:val="en-US"/>
        </w:rPr>
        <w:br w:type="page"/>
      </w:r>
    </w:p>
    <w:p w14:paraId="1ED03E35" w14:textId="77777777" w:rsidR="009A1241" w:rsidRPr="0029607D" w:rsidRDefault="009A1241" w:rsidP="0029607D">
      <w:pPr>
        <w:pStyle w:val="1"/>
        <w:rPr>
          <w:lang w:val="en-US"/>
        </w:rPr>
      </w:pPr>
      <w:bookmarkStart w:id="5" w:name="_Toc515607014"/>
      <w:r w:rsidRPr="0029607D">
        <w:rPr>
          <w:lang w:val="en-US"/>
        </w:rPr>
        <w:lastRenderedPageBreak/>
        <w:t>DAO IPCI offsetting carbon footprint scheme</w:t>
      </w:r>
      <w:bookmarkEnd w:id="5"/>
    </w:p>
    <w:p w14:paraId="35EF4734" w14:textId="77777777" w:rsidR="009A1241" w:rsidRPr="0085259E" w:rsidRDefault="009A1241" w:rsidP="009A1241">
      <w:pPr>
        <w:jc w:val="both"/>
        <w:rPr>
          <w:lang w:val="en-US"/>
        </w:rPr>
      </w:pPr>
      <w:r w:rsidRPr="0085259E">
        <w:rPr>
          <w:lang w:val="en-US"/>
        </w:rPr>
        <w:t>Collateral damage of production, consumption, transaction of goods and services has become crucially important competitive factor, and mitigating this damage is now customary for many market activities. Offsetting carbon footprint scheme ensures irreversible burning of the units at the Compliers contract.</w:t>
      </w:r>
    </w:p>
    <w:p w14:paraId="378B6876" w14:textId="2E938996" w:rsidR="009A1241" w:rsidRPr="000B0F7A" w:rsidRDefault="009A1241" w:rsidP="009A1241">
      <w:pPr>
        <w:spacing w:after="0" w:line="240" w:lineRule="auto"/>
        <w:jc w:val="both"/>
        <w:rPr>
          <w:lang w:val="en-US"/>
        </w:rPr>
      </w:pPr>
      <w:r>
        <w:rPr>
          <w:lang w:val="en-US"/>
        </w:rPr>
        <w:t>O</w:t>
      </w:r>
      <w:r w:rsidRPr="000B0F7A">
        <w:rPr>
          <w:lang w:val="en-US"/>
        </w:rPr>
        <w:t>ff</w:t>
      </w:r>
      <w:r w:rsidRPr="009A1241">
        <w:rPr>
          <w:lang w:val="en-US"/>
        </w:rPr>
        <w:t>s</w:t>
      </w:r>
      <w:r w:rsidRPr="000B0F7A">
        <w:rPr>
          <w:lang w:val="en-US"/>
        </w:rPr>
        <w:t xml:space="preserve">etting carbon footprint </w:t>
      </w:r>
      <w:r w:rsidR="00A55395">
        <w:rPr>
          <w:lang w:val="en-US"/>
        </w:rPr>
        <w:t>functional</w:t>
      </w:r>
      <w:r>
        <w:rPr>
          <w:lang w:val="en-US"/>
        </w:rPr>
        <w:t xml:space="preserve"> scheme and further development (</w:t>
      </w:r>
      <w:r w:rsidRPr="009A1241">
        <w:rPr>
          <w:b/>
          <w:lang w:val="en-US"/>
        </w:rPr>
        <w:t xml:space="preserve">Figure </w:t>
      </w:r>
      <w:r w:rsidR="00594D49">
        <w:rPr>
          <w:b/>
          <w:lang w:val="en-US"/>
        </w:rPr>
        <w:t>10</w:t>
      </w:r>
      <w:r>
        <w:rPr>
          <w:lang w:val="en-US"/>
        </w:rPr>
        <w:t>):</w:t>
      </w:r>
    </w:p>
    <w:p w14:paraId="7A335726" w14:textId="77777777" w:rsidR="009A1241" w:rsidRPr="009A1241" w:rsidRDefault="009A1241" w:rsidP="009A1241">
      <w:pPr>
        <w:pStyle w:val="a7"/>
        <w:numPr>
          <w:ilvl w:val="0"/>
          <w:numId w:val="35"/>
        </w:numPr>
        <w:spacing w:after="0" w:line="240" w:lineRule="auto"/>
        <w:jc w:val="both"/>
        <w:rPr>
          <w:lang w:val="en-US"/>
        </w:rPr>
      </w:pPr>
      <w:r w:rsidRPr="009A1241">
        <w:rPr>
          <w:lang w:val="en-US"/>
        </w:rPr>
        <w:t>Supplier of goods and services provides Consumer with verified data on carbon footprint (amount of CO2e) of the goods and services acquired under specific deal</w:t>
      </w:r>
    </w:p>
    <w:p w14:paraId="1EA3364E" w14:textId="77777777" w:rsidR="009A1241" w:rsidRPr="009A1241" w:rsidRDefault="009A1241" w:rsidP="009A1241">
      <w:pPr>
        <w:pStyle w:val="a7"/>
        <w:numPr>
          <w:ilvl w:val="0"/>
          <w:numId w:val="35"/>
        </w:numPr>
        <w:spacing w:after="0" w:line="240" w:lineRule="auto"/>
        <w:jc w:val="both"/>
        <w:rPr>
          <w:lang w:val="en-US"/>
        </w:rPr>
      </w:pPr>
      <w:r w:rsidRPr="009A1241">
        <w:rPr>
          <w:lang w:val="en-US"/>
        </w:rPr>
        <w:t xml:space="preserve">Consumer acquires the correlated amount of carbon units at DAO IPCI from Issuer or holder of the units </w:t>
      </w:r>
    </w:p>
    <w:p w14:paraId="76671E95" w14:textId="77777777" w:rsidR="009A1241" w:rsidRPr="009A1241" w:rsidRDefault="009A1241" w:rsidP="009A1241">
      <w:pPr>
        <w:pStyle w:val="a7"/>
        <w:numPr>
          <w:ilvl w:val="0"/>
          <w:numId w:val="35"/>
        </w:numPr>
        <w:spacing w:after="0" w:line="240" w:lineRule="auto"/>
        <w:jc w:val="both"/>
        <w:rPr>
          <w:lang w:val="en-US"/>
        </w:rPr>
      </w:pPr>
      <w:r w:rsidRPr="009A1241">
        <w:rPr>
          <w:lang w:val="en-US"/>
        </w:rPr>
        <w:t xml:space="preserve">The units are transferred to the Burning Contract address </w:t>
      </w:r>
    </w:p>
    <w:p w14:paraId="6D0D2892" w14:textId="77777777" w:rsidR="009A1241" w:rsidRPr="009A1241" w:rsidRDefault="009A1241" w:rsidP="009A1241">
      <w:pPr>
        <w:pStyle w:val="a7"/>
        <w:numPr>
          <w:ilvl w:val="0"/>
          <w:numId w:val="35"/>
        </w:numPr>
        <w:spacing w:after="0" w:line="240" w:lineRule="auto"/>
        <w:jc w:val="both"/>
        <w:rPr>
          <w:lang w:val="en-US"/>
        </w:rPr>
      </w:pPr>
      <w:r w:rsidRPr="009A1241">
        <w:rPr>
          <w:lang w:val="en-US"/>
        </w:rPr>
        <w:t>Supplier requests/receives reports on relevant carbon footprint offsetting operations.</w:t>
      </w:r>
    </w:p>
    <w:p w14:paraId="2CDA5F5A" w14:textId="77777777" w:rsidR="009A1241" w:rsidRDefault="009A1241" w:rsidP="009A1241">
      <w:pPr>
        <w:jc w:val="both"/>
        <w:rPr>
          <w:lang w:val="en-US"/>
        </w:rPr>
      </w:pPr>
    </w:p>
    <w:p w14:paraId="5088D257" w14:textId="015CC14B" w:rsidR="009A1241" w:rsidRPr="003F1C35" w:rsidRDefault="009A1241" w:rsidP="009A1241">
      <w:pPr>
        <w:rPr>
          <w:lang w:val="en-US"/>
        </w:rPr>
      </w:pPr>
      <w:r w:rsidRPr="00B73CB5">
        <w:rPr>
          <w:b/>
          <w:i/>
          <w:lang w:val="en-US"/>
        </w:rPr>
        <w:t xml:space="preserve">Figure </w:t>
      </w:r>
      <w:proofErr w:type="gramStart"/>
      <w:r w:rsidR="00ED4138">
        <w:rPr>
          <w:b/>
          <w:i/>
          <w:lang w:val="en-US"/>
        </w:rPr>
        <w:t>8</w:t>
      </w:r>
      <w:proofErr w:type="gramEnd"/>
      <w:r w:rsidRPr="00B73CB5">
        <w:rPr>
          <w:b/>
          <w:i/>
          <w:lang w:val="en-US"/>
        </w:rPr>
        <w:t xml:space="preserve"> – Offsetting carbon footprint scheme</w:t>
      </w:r>
      <w:r w:rsidRPr="00B73CB5">
        <w:rPr>
          <w:lang w:val="en-US"/>
        </w:rPr>
        <w:t xml:space="preserve"> </w:t>
      </w:r>
      <w:r>
        <w:rPr>
          <w:noProof/>
          <w:lang w:val="en-US"/>
        </w:rPr>
        <w:drawing>
          <wp:inline distT="0" distB="0" distL="0" distR="0" wp14:anchorId="5D366D08" wp14:editId="58178EC2">
            <wp:extent cx="5900420" cy="285750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1752" cy="2858145"/>
                    </a:xfrm>
                    <a:prstGeom prst="rect">
                      <a:avLst/>
                    </a:prstGeom>
                    <a:noFill/>
                  </pic:spPr>
                </pic:pic>
              </a:graphicData>
            </a:graphic>
          </wp:inline>
        </w:drawing>
      </w:r>
    </w:p>
    <w:p w14:paraId="2BFA3ADC" w14:textId="77777777" w:rsidR="00F65F87" w:rsidRPr="00DC788A" w:rsidRDefault="00F65F87" w:rsidP="00F65F87">
      <w:pPr>
        <w:jc w:val="both"/>
        <w:rPr>
          <w:lang w:val="en-US"/>
        </w:rPr>
      </w:pPr>
      <w:r>
        <w:rPr>
          <w:lang w:val="en-US"/>
        </w:rPr>
        <w:t xml:space="preserve">Further development implies introduction of accounting and offsetting of scope2 and </w:t>
      </w:r>
      <w:proofErr w:type="gramStart"/>
      <w:r>
        <w:rPr>
          <w:lang w:val="en-US"/>
        </w:rPr>
        <w:t>3</w:t>
      </w:r>
      <w:proofErr w:type="gramEnd"/>
      <w:r>
        <w:rPr>
          <w:lang w:val="en-US"/>
        </w:rPr>
        <w:t xml:space="preserve"> ‘upstream’ and ‘downstream’ impacts. </w:t>
      </w:r>
    </w:p>
    <w:p w14:paraId="39B0C8F0" w14:textId="77777777" w:rsidR="009A1241" w:rsidRDefault="009A1241" w:rsidP="009A1241">
      <w:pPr>
        <w:pStyle w:val="a5"/>
        <w:rPr>
          <w:lang w:val="en-US"/>
        </w:rPr>
      </w:pPr>
    </w:p>
    <w:p w14:paraId="3DF6E3EB" w14:textId="4EC64758" w:rsidR="0041216B" w:rsidRDefault="00F65F87">
      <w:pPr>
        <w:rPr>
          <w:b/>
          <w:i/>
          <w:lang w:val="en-US"/>
        </w:rPr>
      </w:pPr>
      <w:r w:rsidRPr="00B73CB5">
        <w:rPr>
          <w:b/>
          <w:i/>
          <w:lang w:val="en-US"/>
        </w:rPr>
        <w:lastRenderedPageBreak/>
        <w:t xml:space="preserve">Figure </w:t>
      </w:r>
      <w:proofErr w:type="gramStart"/>
      <w:r w:rsidR="00ED4138">
        <w:rPr>
          <w:b/>
          <w:i/>
          <w:lang w:val="en-US"/>
        </w:rPr>
        <w:t>9</w:t>
      </w:r>
      <w:proofErr w:type="gramEnd"/>
      <w:r w:rsidRPr="00B73CB5">
        <w:rPr>
          <w:b/>
          <w:i/>
          <w:lang w:val="en-US"/>
        </w:rPr>
        <w:t xml:space="preserve"> – Offsetting carbon footprint scheme</w:t>
      </w:r>
      <w:r w:rsidRPr="00F65F87">
        <w:rPr>
          <w:b/>
          <w:i/>
          <w:lang w:val="en-US"/>
        </w:rPr>
        <w:t xml:space="preserve"> development</w:t>
      </w:r>
      <w:r w:rsidR="009A1241">
        <w:rPr>
          <w:b/>
          <w:noProof/>
          <w:lang w:val="en-US"/>
        </w:rPr>
        <w:drawing>
          <wp:inline distT="0" distB="0" distL="0" distR="0" wp14:anchorId="3831ABB0" wp14:editId="7EB2852E">
            <wp:extent cx="6063615" cy="269081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64332" cy="2691131"/>
                    </a:xfrm>
                    <a:prstGeom prst="rect">
                      <a:avLst/>
                    </a:prstGeom>
                    <a:noFill/>
                  </pic:spPr>
                </pic:pic>
              </a:graphicData>
            </a:graphic>
          </wp:inline>
        </w:drawing>
      </w:r>
    </w:p>
    <w:p w14:paraId="40E3431F" w14:textId="3AC876DE" w:rsidR="004715EE" w:rsidRPr="0041216B" w:rsidRDefault="0041216B" w:rsidP="004715EE">
      <w:pPr>
        <w:pStyle w:val="1"/>
        <w:rPr>
          <w:lang w:val="en-US"/>
        </w:rPr>
      </w:pPr>
      <w:r>
        <w:rPr>
          <w:rFonts w:eastAsia="Calibri"/>
          <w:lang w:val="en-US"/>
        </w:rPr>
        <w:t xml:space="preserve"> </w:t>
      </w:r>
      <w:bookmarkStart w:id="6" w:name="_Toc515607015"/>
      <w:r w:rsidR="004715EE">
        <w:rPr>
          <w:rFonts w:eastAsia="Calibri"/>
          <w:lang w:val="en-US"/>
        </w:rPr>
        <w:t>‘</w:t>
      </w:r>
      <w:proofErr w:type="spellStart"/>
      <w:r w:rsidR="004715EE" w:rsidRPr="0041216B">
        <w:rPr>
          <w:lang w:val="en-US"/>
        </w:rPr>
        <w:t>Blockchainization</w:t>
      </w:r>
      <w:proofErr w:type="spellEnd"/>
      <w:r w:rsidR="004715EE" w:rsidRPr="0041216B">
        <w:rPr>
          <w:lang w:val="en-US"/>
        </w:rPr>
        <w:t>’ of the Paris agreement</w:t>
      </w:r>
      <w:bookmarkEnd w:id="6"/>
    </w:p>
    <w:p w14:paraId="6992DDD1" w14:textId="77777777" w:rsidR="00363809" w:rsidRDefault="00363809" w:rsidP="00363809">
      <w:pPr>
        <w:spacing w:after="0" w:line="240" w:lineRule="auto"/>
        <w:jc w:val="both"/>
        <w:rPr>
          <w:rFonts w:ascii="Calibri" w:eastAsia="Calibri" w:hAnsi="Calibri" w:cs="Times New Roman"/>
          <w:iCs/>
          <w:lang w:val="en-US"/>
        </w:rPr>
      </w:pPr>
      <w:r>
        <w:rPr>
          <w:rFonts w:ascii="Calibri" w:eastAsia="Calibri" w:hAnsi="Calibri" w:cs="Times New Roman"/>
          <w:iCs/>
          <w:lang w:val="en-US"/>
        </w:rPr>
        <w:t xml:space="preserve">Article 6 of the UNFCCC Paris agreement has actually established global market-based interaction protocol for </w:t>
      </w:r>
      <w:proofErr w:type="gramStart"/>
      <w:r>
        <w:rPr>
          <w:rFonts w:ascii="Calibri" w:eastAsia="Calibri" w:hAnsi="Calibri" w:cs="Times New Roman"/>
          <w:iCs/>
          <w:lang w:val="en-US"/>
        </w:rPr>
        <w:t xml:space="preserve">climate change mitigation </w:t>
      </w:r>
      <w:r w:rsidR="003A2A64">
        <w:rPr>
          <w:rFonts w:ascii="Calibri" w:eastAsia="Calibri" w:hAnsi="Calibri" w:cs="Times New Roman"/>
          <w:iCs/>
          <w:lang w:val="en-US"/>
        </w:rPr>
        <w:t>programs</w:t>
      </w:r>
      <w:proofErr w:type="gramEnd"/>
      <w:r w:rsidR="003A2A64">
        <w:rPr>
          <w:rFonts w:ascii="Calibri" w:eastAsia="Calibri" w:hAnsi="Calibri" w:cs="Times New Roman"/>
          <w:iCs/>
          <w:lang w:val="en-US"/>
        </w:rPr>
        <w:t xml:space="preserve"> and </w:t>
      </w:r>
      <w:r>
        <w:rPr>
          <w:rFonts w:ascii="Calibri" w:eastAsia="Calibri" w:hAnsi="Calibri" w:cs="Times New Roman"/>
          <w:iCs/>
          <w:lang w:val="en-US"/>
        </w:rPr>
        <w:t xml:space="preserve">activities. </w:t>
      </w:r>
      <w:r w:rsidR="003A2A64">
        <w:rPr>
          <w:rFonts w:ascii="Calibri" w:eastAsia="Calibri" w:hAnsi="Calibri" w:cs="Times New Roman"/>
          <w:iCs/>
          <w:lang w:val="en-US"/>
        </w:rPr>
        <w:t>DAO IPCI concept design provides digital environment to execute this protocol.</w:t>
      </w:r>
    </w:p>
    <w:p w14:paraId="425487CC" w14:textId="77777777" w:rsidR="002F458D" w:rsidRDefault="002F458D" w:rsidP="00363809">
      <w:pPr>
        <w:spacing w:after="0" w:line="240" w:lineRule="auto"/>
        <w:jc w:val="both"/>
        <w:rPr>
          <w:rFonts w:ascii="Calibri" w:eastAsia="Calibri" w:hAnsi="Calibri" w:cs="Times New Roman"/>
          <w:iCs/>
          <w:lang w:val="en-US"/>
        </w:rPr>
      </w:pPr>
    </w:p>
    <w:p w14:paraId="3FEA7407" w14:textId="77777777" w:rsidR="00363809" w:rsidRPr="00847AE8" w:rsidRDefault="00363809" w:rsidP="00363809">
      <w:pPr>
        <w:spacing w:after="0" w:line="240" w:lineRule="auto"/>
        <w:jc w:val="both"/>
        <w:rPr>
          <w:rFonts w:ascii="Calibri" w:eastAsia="Calibri" w:hAnsi="Calibri" w:cs="Times New Roman"/>
          <w:bCs/>
          <w:lang w:val="en-US"/>
        </w:rPr>
      </w:pPr>
      <w:r w:rsidRPr="00847AE8">
        <w:rPr>
          <w:rFonts w:ascii="Calibri" w:eastAsia="Calibri" w:hAnsi="Calibri" w:cs="Times New Roman"/>
          <w:iCs/>
          <w:lang w:val="en-US"/>
        </w:rPr>
        <w:t>To ‘</w:t>
      </w:r>
      <w:proofErr w:type="spellStart"/>
      <w:r w:rsidRPr="00847AE8">
        <w:rPr>
          <w:rFonts w:ascii="Calibri" w:eastAsia="Calibri" w:hAnsi="Calibri" w:cs="Times New Roman"/>
          <w:iCs/>
          <w:lang w:val="en-US"/>
        </w:rPr>
        <w:t>blockchainize</w:t>
      </w:r>
      <w:proofErr w:type="spellEnd"/>
      <w:r w:rsidRPr="00847AE8">
        <w:rPr>
          <w:rFonts w:ascii="Calibri" w:eastAsia="Calibri" w:hAnsi="Calibri" w:cs="Times New Roman"/>
          <w:iCs/>
          <w:lang w:val="en-US"/>
        </w:rPr>
        <w:t xml:space="preserve">’ article 6 of the Paris agreement, the following design </w:t>
      </w:r>
      <w:proofErr w:type="gramStart"/>
      <w:r w:rsidRPr="00847AE8">
        <w:rPr>
          <w:rFonts w:ascii="Calibri" w:eastAsia="Calibri" w:hAnsi="Calibri" w:cs="Times New Roman"/>
          <w:iCs/>
          <w:lang w:val="en-US"/>
        </w:rPr>
        <w:t>has been developed</w:t>
      </w:r>
      <w:proofErr w:type="gramEnd"/>
      <w:r w:rsidRPr="00847AE8">
        <w:rPr>
          <w:rFonts w:ascii="Calibri" w:eastAsia="Calibri" w:hAnsi="Calibri" w:cs="Times New Roman"/>
          <w:iCs/>
          <w:lang w:val="en-US"/>
        </w:rPr>
        <w:t xml:space="preserve"> with m</w:t>
      </w:r>
      <w:r w:rsidRPr="00847AE8">
        <w:rPr>
          <w:rFonts w:ascii="Calibri" w:eastAsia="Calibri" w:hAnsi="Calibri" w:cs="Times New Roman"/>
          <w:bCs/>
          <w:lang w:val="en-US"/>
        </w:rPr>
        <w:t>ost of the modules and smart-contracts needed already in place:</w:t>
      </w:r>
    </w:p>
    <w:p w14:paraId="2071FEFF" w14:textId="77777777" w:rsidR="00363809" w:rsidRPr="00847AE8" w:rsidRDefault="00363809" w:rsidP="00363809">
      <w:pPr>
        <w:spacing w:after="0" w:line="240" w:lineRule="auto"/>
        <w:ind w:firstLine="720"/>
        <w:rPr>
          <w:rFonts w:ascii="Calibri" w:eastAsia="Calibri" w:hAnsi="Calibri" w:cs="Times New Roman"/>
          <w:bCs/>
          <w:lang w:val="en-US"/>
        </w:rPr>
      </w:pPr>
    </w:p>
    <w:tbl>
      <w:tblPr>
        <w:tblStyle w:val="12"/>
        <w:tblW w:w="0" w:type="auto"/>
        <w:tblLook w:val="04A0" w:firstRow="1" w:lastRow="0" w:firstColumn="1" w:lastColumn="0" w:noHBand="0" w:noVBand="1"/>
      </w:tblPr>
      <w:tblGrid>
        <w:gridCol w:w="4672"/>
        <w:gridCol w:w="2336"/>
        <w:gridCol w:w="2337"/>
      </w:tblGrid>
      <w:tr w:rsidR="00363809" w:rsidRPr="00847AE8" w14:paraId="3D5C569E" w14:textId="77777777" w:rsidTr="00A91218">
        <w:tc>
          <w:tcPr>
            <w:tcW w:w="4672" w:type="dxa"/>
          </w:tcPr>
          <w:p w14:paraId="30582E71" w14:textId="38DD0A1C" w:rsidR="00363809" w:rsidRPr="00847AE8" w:rsidRDefault="00363809" w:rsidP="0053587F">
            <w:pPr>
              <w:rPr>
                <w:rFonts w:ascii="Calibri" w:eastAsia="Calibri" w:hAnsi="Calibri" w:cs="Times New Roman"/>
                <w:b/>
                <w:bCs/>
                <w:lang w:val="en-US"/>
              </w:rPr>
            </w:pPr>
            <w:r w:rsidRPr="00847AE8">
              <w:rPr>
                <w:rFonts w:ascii="Calibri" w:eastAsia="Calibri" w:hAnsi="Calibri" w:cs="Times New Roman"/>
                <w:b/>
                <w:bCs/>
                <w:lang w:val="en-US"/>
              </w:rPr>
              <w:t xml:space="preserve">Paris Agreement </w:t>
            </w:r>
          </w:p>
        </w:tc>
        <w:tc>
          <w:tcPr>
            <w:tcW w:w="4673" w:type="dxa"/>
            <w:gridSpan w:val="2"/>
          </w:tcPr>
          <w:p w14:paraId="41FA60B2" w14:textId="77777777" w:rsidR="00363809" w:rsidRPr="00847AE8" w:rsidRDefault="00363809" w:rsidP="00A91218">
            <w:pPr>
              <w:rPr>
                <w:rFonts w:ascii="Calibri" w:eastAsia="Calibri" w:hAnsi="Calibri" w:cs="Times New Roman"/>
                <w:b/>
                <w:bCs/>
                <w:lang w:val="en-US"/>
              </w:rPr>
            </w:pPr>
            <w:r w:rsidRPr="00847AE8">
              <w:rPr>
                <w:rFonts w:ascii="Calibri" w:eastAsia="Calibri" w:hAnsi="Calibri" w:cs="Times New Roman"/>
                <w:b/>
                <w:bCs/>
                <w:lang w:val="en-US"/>
              </w:rPr>
              <w:t>DAO IPCI Blockchain Ecosystem</w:t>
            </w:r>
          </w:p>
        </w:tc>
      </w:tr>
      <w:tr w:rsidR="00363809" w:rsidRPr="00847AE8" w14:paraId="06309923" w14:textId="77777777" w:rsidTr="00A91218">
        <w:tc>
          <w:tcPr>
            <w:tcW w:w="4672" w:type="dxa"/>
          </w:tcPr>
          <w:p w14:paraId="1A73CFF4" w14:textId="77777777" w:rsidR="00363809" w:rsidRPr="00847AE8" w:rsidRDefault="00363809" w:rsidP="00A91218">
            <w:pPr>
              <w:rPr>
                <w:rFonts w:ascii="Calibri" w:eastAsia="Calibri" w:hAnsi="Calibri" w:cs="Times New Roman"/>
                <w:b/>
                <w:bCs/>
                <w:lang w:val="en-US"/>
              </w:rPr>
            </w:pPr>
            <w:r w:rsidRPr="00847AE8">
              <w:rPr>
                <w:rFonts w:ascii="Calibri" w:eastAsia="Calibri" w:hAnsi="Calibri" w:cs="Times New Roman"/>
                <w:b/>
                <w:bCs/>
                <w:lang w:val="en-US"/>
              </w:rPr>
              <w:t>Article 6</w:t>
            </w:r>
          </w:p>
        </w:tc>
        <w:tc>
          <w:tcPr>
            <w:tcW w:w="4673" w:type="dxa"/>
            <w:gridSpan w:val="2"/>
          </w:tcPr>
          <w:p w14:paraId="67FD9456" w14:textId="77777777" w:rsidR="00363809" w:rsidRPr="00847AE8" w:rsidRDefault="00363809" w:rsidP="00A91218">
            <w:pPr>
              <w:rPr>
                <w:rFonts w:ascii="Calibri" w:eastAsia="Calibri" w:hAnsi="Calibri" w:cs="Times New Roman"/>
                <w:b/>
                <w:bCs/>
                <w:lang w:val="en-US"/>
              </w:rPr>
            </w:pPr>
            <w:r w:rsidRPr="00847AE8">
              <w:rPr>
                <w:rFonts w:ascii="Calibri" w:eastAsia="Calibri" w:hAnsi="Calibri" w:cs="Times New Roman"/>
                <w:b/>
                <w:bCs/>
                <w:lang w:val="en-US"/>
              </w:rPr>
              <w:t>DAO Core/Modules</w:t>
            </w:r>
          </w:p>
        </w:tc>
      </w:tr>
      <w:tr w:rsidR="00363809" w:rsidRPr="00847AE8" w14:paraId="5CF7BA19" w14:textId="77777777" w:rsidTr="00A91218">
        <w:tc>
          <w:tcPr>
            <w:tcW w:w="4672" w:type="dxa"/>
          </w:tcPr>
          <w:p w14:paraId="116F8ACA" w14:textId="77777777" w:rsidR="00363809" w:rsidRPr="00847AE8" w:rsidRDefault="00363809" w:rsidP="00A91218">
            <w:pPr>
              <w:rPr>
                <w:rFonts w:ascii="Calibri" w:eastAsia="Calibri" w:hAnsi="Calibri" w:cs="Times New Roman"/>
                <w:b/>
                <w:bCs/>
                <w:i/>
                <w:lang w:val="en-US"/>
              </w:rPr>
            </w:pPr>
            <w:r w:rsidRPr="00847AE8">
              <w:rPr>
                <w:rFonts w:ascii="Calibri" w:eastAsia="Calibri" w:hAnsi="Calibri" w:cs="Times New Roman"/>
                <w:b/>
                <w:bCs/>
                <w:i/>
                <w:lang w:val="en-US"/>
              </w:rPr>
              <w:t>Parties voluntary cooperation</w:t>
            </w:r>
          </w:p>
        </w:tc>
        <w:tc>
          <w:tcPr>
            <w:tcW w:w="4673" w:type="dxa"/>
            <w:gridSpan w:val="2"/>
          </w:tcPr>
          <w:p w14:paraId="7F2C2E43" w14:textId="77777777" w:rsidR="00363809" w:rsidRPr="00847AE8" w:rsidRDefault="00363809" w:rsidP="00A91218">
            <w:pPr>
              <w:rPr>
                <w:rFonts w:ascii="Calibri" w:eastAsia="Calibri" w:hAnsi="Calibri" w:cs="Times New Roman"/>
                <w:b/>
                <w:bCs/>
                <w:lang w:val="en-US"/>
              </w:rPr>
            </w:pPr>
          </w:p>
        </w:tc>
      </w:tr>
      <w:tr w:rsidR="00363809" w:rsidRPr="0086360B" w14:paraId="481A7B71" w14:textId="77777777" w:rsidTr="00A91218">
        <w:tc>
          <w:tcPr>
            <w:tcW w:w="4672" w:type="dxa"/>
          </w:tcPr>
          <w:p w14:paraId="26AB315E" w14:textId="77777777" w:rsidR="00363809" w:rsidRPr="00847AE8" w:rsidRDefault="00363809" w:rsidP="00A91218">
            <w:pPr>
              <w:rPr>
                <w:rFonts w:ascii="Calibri" w:eastAsia="Calibri" w:hAnsi="Calibri" w:cs="Times New Roman"/>
                <w:b/>
                <w:bCs/>
                <w:lang w:val="en-US"/>
              </w:rPr>
            </w:pPr>
            <w:r w:rsidRPr="00847AE8">
              <w:rPr>
                <w:rFonts w:ascii="Calibri" w:eastAsia="Calibri" w:hAnsi="Calibri" w:cs="Times New Roman"/>
                <w:lang w:val="en-US"/>
              </w:rPr>
              <w:t>1. Parties recognize that some Parties choose to pursue voluntary cooperation in the implementation of their nationally determined contributions to allow for higher ambition in their mitigation and adaptation actions and to promote sustainable development and environmental integrity.</w:t>
            </w:r>
          </w:p>
        </w:tc>
        <w:tc>
          <w:tcPr>
            <w:tcW w:w="2336" w:type="dxa"/>
          </w:tcPr>
          <w:p w14:paraId="1091A64A" w14:textId="77777777" w:rsidR="00363809" w:rsidRPr="00847AE8" w:rsidRDefault="00363809" w:rsidP="00A91218">
            <w:pPr>
              <w:jc w:val="center"/>
              <w:rPr>
                <w:rFonts w:ascii="Calibri" w:eastAsia="Calibri" w:hAnsi="Calibri" w:cs="Times New Roman"/>
                <w:bCs/>
                <w:i/>
                <w:lang w:val="en-US"/>
              </w:rPr>
            </w:pPr>
            <w:r w:rsidRPr="00847AE8">
              <w:rPr>
                <w:rFonts w:ascii="Calibri" w:eastAsia="Calibri" w:hAnsi="Calibri" w:cs="Times New Roman"/>
                <w:bCs/>
                <w:i/>
                <w:lang w:val="en-US"/>
              </w:rPr>
              <w:t>‘Quantified Commitment’ and ‘Quantified Impact’ Module</w:t>
            </w:r>
            <w:r w:rsidRPr="00847AE8">
              <w:rPr>
                <w:rFonts w:ascii="Calibri" w:eastAsia="Calibri" w:hAnsi="Calibri" w:cs="Times New Roman"/>
                <w:bCs/>
                <w:i/>
                <w:vertAlign w:val="superscript"/>
                <w:lang w:val="en-US"/>
              </w:rPr>
              <w:footnoteReference w:id="24"/>
            </w:r>
          </w:p>
          <w:p w14:paraId="3EA50EC5"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 xml:space="preserve">Nationally Determined Contributions (NDC) </w:t>
            </w:r>
            <w:proofErr w:type="gramStart"/>
            <w:r w:rsidRPr="00847AE8">
              <w:rPr>
                <w:rFonts w:ascii="Calibri" w:eastAsia="Calibri" w:hAnsi="Calibri" w:cs="Times New Roman"/>
                <w:bCs/>
                <w:lang w:val="en-US"/>
              </w:rPr>
              <w:t>should be reflected</w:t>
            </w:r>
            <w:proofErr w:type="gramEnd"/>
            <w:r w:rsidRPr="00847AE8">
              <w:rPr>
                <w:rFonts w:ascii="Calibri" w:eastAsia="Calibri" w:hAnsi="Calibri" w:cs="Times New Roman"/>
                <w:bCs/>
                <w:lang w:val="en-US"/>
              </w:rPr>
              <w:t xml:space="preserve"> as ‘Quantified Commitments’ and ‘Quantified Impact’.</w:t>
            </w:r>
          </w:p>
        </w:tc>
        <w:tc>
          <w:tcPr>
            <w:tcW w:w="2337" w:type="dxa"/>
          </w:tcPr>
          <w:p w14:paraId="5D3463A5" w14:textId="77777777" w:rsidR="00363809" w:rsidRPr="00847AE8" w:rsidRDefault="00363809" w:rsidP="00A91218">
            <w:pPr>
              <w:jc w:val="center"/>
              <w:rPr>
                <w:rFonts w:ascii="Calibri" w:eastAsia="Calibri" w:hAnsi="Calibri" w:cs="Times New Roman"/>
                <w:bCs/>
                <w:i/>
                <w:lang w:val="en-US"/>
              </w:rPr>
            </w:pPr>
            <w:r w:rsidRPr="00847AE8">
              <w:rPr>
                <w:rFonts w:ascii="Calibri" w:eastAsia="Calibri" w:hAnsi="Calibri" w:cs="Times New Roman"/>
                <w:bCs/>
                <w:i/>
                <w:lang w:val="en-US"/>
              </w:rPr>
              <w:t>Creation of ITMO Market Module by UNFCCC Secretaria</w:t>
            </w:r>
            <w:r w:rsidRPr="00847AE8">
              <w:rPr>
                <w:rFonts w:ascii="Calibri" w:eastAsia="Calibri" w:hAnsi="Calibri" w:cs="Times New Roman"/>
                <w:bCs/>
                <w:lang w:val="en-US"/>
              </w:rPr>
              <w:t>t.</w:t>
            </w:r>
            <w:r w:rsidRPr="00847AE8">
              <w:rPr>
                <w:rFonts w:ascii="Calibri" w:eastAsia="Calibri" w:hAnsi="Calibri" w:cs="Times New Roman"/>
                <w:bCs/>
                <w:i/>
                <w:lang w:val="en-US"/>
              </w:rPr>
              <w:t xml:space="preserve"> Creation of independent DAOs of the Parties </w:t>
            </w:r>
          </w:p>
          <w:p w14:paraId="3DDFA71B"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Parties that have chosen to pursue voluntary cooperation create independent Operators DAOs with common market created by UNFCCC Secretariat for all Operators, which chose to cooperate.</w:t>
            </w:r>
          </w:p>
        </w:tc>
      </w:tr>
      <w:tr w:rsidR="00363809" w:rsidRPr="0086360B" w14:paraId="25CFC40A" w14:textId="77777777" w:rsidTr="00A91218">
        <w:tc>
          <w:tcPr>
            <w:tcW w:w="4672" w:type="dxa"/>
          </w:tcPr>
          <w:p w14:paraId="3AFE8694" w14:textId="77777777" w:rsidR="00363809" w:rsidRPr="00847AE8" w:rsidRDefault="00363809" w:rsidP="00A91218">
            <w:pPr>
              <w:rPr>
                <w:rFonts w:ascii="Calibri" w:eastAsia="Calibri" w:hAnsi="Calibri" w:cs="Times New Roman"/>
                <w:bCs/>
                <w:lang w:val="en-US"/>
              </w:rPr>
            </w:pPr>
            <w:proofErr w:type="gramStart"/>
            <w:r w:rsidRPr="00847AE8">
              <w:rPr>
                <w:rFonts w:ascii="Calibri" w:eastAsia="Calibri" w:hAnsi="Calibri" w:cs="Times New Roman"/>
                <w:bCs/>
                <w:lang w:val="en-US"/>
              </w:rPr>
              <w:t xml:space="preserve">2. Parties shall, where engaging on a voluntary basis in cooperative approaches that involve the use of internationally transferred mitigation outcomes towards nationally determined </w:t>
            </w:r>
            <w:r w:rsidRPr="00847AE8">
              <w:rPr>
                <w:rFonts w:ascii="Calibri" w:eastAsia="Calibri" w:hAnsi="Calibri" w:cs="Times New Roman"/>
                <w:bCs/>
                <w:lang w:val="en-US"/>
              </w:rPr>
              <w:lastRenderedPageBreak/>
              <w:t>contributions, promote sustainable development and ensure environmental integrity and transparency, including in governance, and shall apply robust accounting to ensure, inter alia, the avoidance of double counting, consistent with guidance adopted by the Conference of the Parties serving as the meeting of the Parties to this Agreement.</w:t>
            </w:r>
            <w:proofErr w:type="gramEnd"/>
            <w:r w:rsidRPr="00847AE8">
              <w:rPr>
                <w:rFonts w:ascii="Calibri" w:eastAsia="Calibri" w:hAnsi="Calibri" w:cs="Times New Roman"/>
                <w:bCs/>
                <w:lang w:val="en-US"/>
              </w:rPr>
              <w:t xml:space="preserve"> </w:t>
            </w:r>
          </w:p>
        </w:tc>
        <w:tc>
          <w:tcPr>
            <w:tcW w:w="4673" w:type="dxa"/>
            <w:gridSpan w:val="2"/>
          </w:tcPr>
          <w:p w14:paraId="517D9E27" w14:textId="77777777" w:rsidR="00363809" w:rsidRPr="00847AE8" w:rsidRDefault="00363809" w:rsidP="00A91218">
            <w:pPr>
              <w:jc w:val="center"/>
              <w:rPr>
                <w:rFonts w:ascii="Calibri" w:eastAsia="Calibri" w:hAnsi="Calibri" w:cs="Times New Roman"/>
                <w:bCs/>
                <w:i/>
                <w:lang w:val="en-US"/>
              </w:rPr>
            </w:pPr>
            <w:r w:rsidRPr="00847AE8">
              <w:rPr>
                <w:rFonts w:ascii="Calibri" w:eastAsia="Calibri" w:hAnsi="Calibri" w:cs="Times New Roman"/>
                <w:bCs/>
                <w:i/>
                <w:lang w:val="en-US"/>
              </w:rPr>
              <w:lastRenderedPageBreak/>
              <w:t>Issuance of environmental units via Security Reserve or Security Deposit Contracts</w:t>
            </w:r>
          </w:p>
          <w:p w14:paraId="5B291575"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 xml:space="preserve">Common market token is an ‘Internationally transferred mitigation outcome’ (ITMO). </w:t>
            </w:r>
          </w:p>
          <w:p w14:paraId="52291ACB"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lastRenderedPageBreak/>
              <w:t xml:space="preserve">Once issued ITMOs </w:t>
            </w:r>
            <w:proofErr w:type="gramStart"/>
            <w:r w:rsidRPr="00847AE8">
              <w:rPr>
                <w:rFonts w:ascii="Calibri" w:eastAsia="Calibri" w:hAnsi="Calibri" w:cs="Times New Roman"/>
                <w:bCs/>
                <w:lang w:val="en-US"/>
              </w:rPr>
              <w:t>are deducted</w:t>
            </w:r>
            <w:proofErr w:type="gramEnd"/>
            <w:r w:rsidRPr="00847AE8">
              <w:rPr>
                <w:rFonts w:ascii="Calibri" w:eastAsia="Calibri" w:hAnsi="Calibri" w:cs="Times New Roman"/>
                <w:bCs/>
                <w:lang w:val="en-US"/>
              </w:rPr>
              <w:t xml:space="preserve"> from respective Party NDC, which arithmetically means increase of Quantified Impact and decrease of mitigation contribution (Quantified commitment) by the amount of tCO2e reflected in ITMO.</w:t>
            </w:r>
          </w:p>
          <w:p w14:paraId="0DF5D02A"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 xml:space="preserve">Issuance of ITMO may be performed only by the Independent Entity and only to the address endorsed (listed as Agents) by the respective Party Operator. </w:t>
            </w:r>
          </w:p>
          <w:p w14:paraId="2A3F9CBF" w14:textId="77777777" w:rsidR="00363809" w:rsidRPr="00847AE8" w:rsidRDefault="00363809" w:rsidP="00A91218">
            <w:pPr>
              <w:rPr>
                <w:rFonts w:ascii="Calibri" w:eastAsia="Calibri" w:hAnsi="Calibri" w:cs="Times New Roman"/>
                <w:bCs/>
                <w:lang w:val="en-US"/>
              </w:rPr>
            </w:pPr>
            <w:proofErr w:type="gramStart"/>
            <w:r w:rsidRPr="00847AE8">
              <w:rPr>
                <w:rFonts w:ascii="Calibri" w:eastAsia="Calibri" w:hAnsi="Calibri" w:cs="Times New Roman"/>
                <w:bCs/>
                <w:lang w:val="en-US"/>
              </w:rPr>
              <w:t>Double-counting</w:t>
            </w:r>
            <w:proofErr w:type="gramEnd"/>
            <w:r w:rsidRPr="00847AE8">
              <w:rPr>
                <w:rFonts w:ascii="Calibri" w:eastAsia="Calibri" w:hAnsi="Calibri" w:cs="Times New Roman"/>
                <w:bCs/>
                <w:lang w:val="en-US"/>
              </w:rPr>
              <w:t xml:space="preserve"> is avoided, transparency ensured by inherent properties of public blockchain. </w:t>
            </w:r>
          </w:p>
          <w:p w14:paraId="656D1BC8"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Respective Party Operator and Independent Entity are responsible for compliance of ITMOs with sustainable development and environmental integrity principles.</w:t>
            </w:r>
          </w:p>
        </w:tc>
      </w:tr>
      <w:tr w:rsidR="00363809" w:rsidRPr="0086360B" w14:paraId="4FAA04DA" w14:textId="77777777" w:rsidTr="00A91218">
        <w:tc>
          <w:tcPr>
            <w:tcW w:w="4672" w:type="dxa"/>
          </w:tcPr>
          <w:p w14:paraId="2EA07B31"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 xml:space="preserve">3. The use of internationally transferred mitigation outcomes to achieve nationally determined contributions under this Agreement shall be voluntary and authorized by participating Parties. </w:t>
            </w:r>
          </w:p>
          <w:p w14:paraId="5DA2CC2F" w14:textId="77777777" w:rsidR="00363809" w:rsidRPr="00847AE8" w:rsidRDefault="00363809" w:rsidP="00A91218">
            <w:pPr>
              <w:rPr>
                <w:rFonts w:ascii="Calibri" w:eastAsia="Calibri" w:hAnsi="Calibri" w:cs="Times New Roman"/>
                <w:bCs/>
                <w:lang w:val="en-US"/>
              </w:rPr>
            </w:pPr>
          </w:p>
        </w:tc>
        <w:tc>
          <w:tcPr>
            <w:tcW w:w="4673" w:type="dxa"/>
            <w:gridSpan w:val="2"/>
          </w:tcPr>
          <w:p w14:paraId="4980088E" w14:textId="77777777" w:rsidR="00363809" w:rsidRPr="00847AE8" w:rsidRDefault="00363809" w:rsidP="00A91218">
            <w:pPr>
              <w:jc w:val="center"/>
              <w:rPr>
                <w:rFonts w:ascii="Calibri" w:eastAsia="Calibri" w:hAnsi="Calibri" w:cs="Times New Roman"/>
                <w:bCs/>
                <w:i/>
                <w:lang w:val="en-US"/>
              </w:rPr>
            </w:pPr>
            <w:r w:rsidRPr="00847AE8">
              <w:rPr>
                <w:rFonts w:ascii="Calibri" w:eastAsia="Calibri" w:hAnsi="Calibri" w:cs="Times New Roman"/>
                <w:bCs/>
                <w:i/>
                <w:lang w:val="en-US"/>
              </w:rPr>
              <w:t>Complier Contract</w:t>
            </w:r>
          </w:p>
          <w:p w14:paraId="4FD5157D"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 xml:space="preserve">Authorization of private use (transfer or trading) of internationally transferred mitigation outcomes </w:t>
            </w:r>
            <w:proofErr w:type="gramStart"/>
            <w:r w:rsidRPr="00847AE8">
              <w:rPr>
                <w:rFonts w:ascii="Calibri" w:eastAsia="Calibri" w:hAnsi="Calibri" w:cs="Times New Roman"/>
                <w:bCs/>
                <w:lang w:val="en-US"/>
              </w:rPr>
              <w:t>is provided and ensured by the protocols for Issuance of ITMO</w:t>
            </w:r>
            <w:r w:rsidR="00A522DE" w:rsidRPr="00A522DE">
              <w:rPr>
                <w:rFonts w:ascii="Calibri" w:eastAsia="Calibri" w:hAnsi="Calibri" w:cs="Times New Roman"/>
                <w:bCs/>
                <w:lang w:val="en-US"/>
              </w:rPr>
              <w:t xml:space="preserve"> (</w:t>
            </w:r>
            <w:r w:rsidR="00A522DE">
              <w:rPr>
                <w:rFonts w:ascii="Calibri" w:eastAsia="Calibri" w:hAnsi="Calibri" w:cs="Times New Roman"/>
                <w:bCs/>
                <w:lang w:val="en-US"/>
              </w:rPr>
              <w:t>see p.2)</w:t>
            </w:r>
            <w:proofErr w:type="gramEnd"/>
            <w:r w:rsidRPr="00847AE8">
              <w:rPr>
                <w:rFonts w:ascii="Calibri" w:eastAsia="Calibri" w:hAnsi="Calibri" w:cs="Times New Roman"/>
                <w:bCs/>
                <w:lang w:val="en-US"/>
              </w:rPr>
              <w:t xml:space="preserve">. Privately used ITMO </w:t>
            </w:r>
            <w:proofErr w:type="gramStart"/>
            <w:r w:rsidRPr="00847AE8">
              <w:rPr>
                <w:rFonts w:ascii="Calibri" w:eastAsia="Calibri" w:hAnsi="Calibri" w:cs="Times New Roman"/>
                <w:bCs/>
                <w:lang w:val="en-US"/>
              </w:rPr>
              <w:t>are not counted</w:t>
            </w:r>
            <w:proofErr w:type="gramEnd"/>
            <w:r w:rsidRPr="00847AE8">
              <w:rPr>
                <w:rFonts w:ascii="Calibri" w:eastAsia="Calibri" w:hAnsi="Calibri" w:cs="Times New Roman"/>
                <w:bCs/>
                <w:lang w:val="en-US"/>
              </w:rPr>
              <w:t xml:space="preserve"> as contribution of any Party to the Agreement.</w:t>
            </w:r>
          </w:p>
          <w:p w14:paraId="3CA63773"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 xml:space="preserve">Use </w:t>
            </w:r>
            <w:proofErr w:type="gramStart"/>
            <w:r w:rsidRPr="00847AE8">
              <w:rPr>
                <w:rFonts w:ascii="Calibri" w:eastAsia="Calibri" w:hAnsi="Calibri" w:cs="Times New Roman"/>
                <w:bCs/>
                <w:lang w:val="en-US"/>
              </w:rPr>
              <w:t>of  ITMOs</w:t>
            </w:r>
            <w:proofErr w:type="gramEnd"/>
            <w:r w:rsidRPr="00847AE8">
              <w:rPr>
                <w:rFonts w:ascii="Calibri" w:eastAsia="Calibri" w:hAnsi="Calibri" w:cs="Times New Roman"/>
                <w:bCs/>
                <w:lang w:val="en-US"/>
              </w:rPr>
              <w:t xml:space="preserve"> for to achieve NDC may be used only via respective Party (Operator) Complier Contract(s). Only the units ‘burnt’ (irrevocably retired) at specific Compliers’ Contract(s) may be counted as additional contribution. </w:t>
            </w:r>
          </w:p>
        </w:tc>
      </w:tr>
      <w:tr w:rsidR="00363809" w:rsidRPr="00847AE8" w14:paraId="55E7CEDA" w14:textId="77777777" w:rsidTr="00A91218">
        <w:tc>
          <w:tcPr>
            <w:tcW w:w="4672" w:type="dxa"/>
          </w:tcPr>
          <w:p w14:paraId="48890360" w14:textId="77777777" w:rsidR="00363809" w:rsidRPr="00847AE8" w:rsidRDefault="00363809" w:rsidP="00A91218">
            <w:pPr>
              <w:rPr>
                <w:rFonts w:ascii="Calibri" w:eastAsia="Calibri" w:hAnsi="Calibri" w:cs="Times New Roman"/>
                <w:b/>
                <w:bCs/>
                <w:i/>
                <w:lang w:val="en-US"/>
              </w:rPr>
            </w:pPr>
            <w:r w:rsidRPr="00847AE8">
              <w:rPr>
                <w:rFonts w:ascii="Calibri" w:eastAsia="Calibri" w:hAnsi="Calibri" w:cs="Times New Roman"/>
                <w:b/>
                <w:bCs/>
                <w:i/>
                <w:lang w:val="en-US"/>
              </w:rPr>
              <w:t>Sustainable Development Mechanism</w:t>
            </w:r>
          </w:p>
        </w:tc>
        <w:tc>
          <w:tcPr>
            <w:tcW w:w="4673" w:type="dxa"/>
            <w:gridSpan w:val="2"/>
          </w:tcPr>
          <w:p w14:paraId="4B534E18" w14:textId="77777777" w:rsidR="00363809" w:rsidRPr="00847AE8" w:rsidRDefault="00363809" w:rsidP="00A91218">
            <w:pPr>
              <w:rPr>
                <w:rFonts w:ascii="Calibri" w:eastAsia="Calibri" w:hAnsi="Calibri" w:cs="Times New Roman"/>
                <w:bCs/>
                <w:lang w:val="en-US"/>
              </w:rPr>
            </w:pPr>
          </w:p>
        </w:tc>
      </w:tr>
      <w:tr w:rsidR="00363809" w:rsidRPr="0086360B" w14:paraId="58C62C9A" w14:textId="77777777" w:rsidTr="00A91218">
        <w:tc>
          <w:tcPr>
            <w:tcW w:w="4672" w:type="dxa"/>
          </w:tcPr>
          <w:p w14:paraId="38F75CC2" w14:textId="77777777" w:rsidR="00363809" w:rsidRPr="00847AE8" w:rsidRDefault="00363809" w:rsidP="00A91218">
            <w:pPr>
              <w:rPr>
                <w:rFonts w:ascii="Calibri" w:eastAsia="Calibri" w:hAnsi="Calibri" w:cs="Times New Roman"/>
                <w:bCs/>
                <w:lang w:val="en-US"/>
              </w:rPr>
            </w:pPr>
          </w:p>
          <w:p w14:paraId="04AE56F9"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 xml:space="preserve">4. A mechanism to contribute to the mitigation of greenhouse gas emissions and support sustainable development </w:t>
            </w:r>
            <w:proofErr w:type="gramStart"/>
            <w:r w:rsidRPr="00847AE8">
              <w:rPr>
                <w:rFonts w:ascii="Calibri" w:eastAsia="Calibri" w:hAnsi="Calibri" w:cs="Times New Roman"/>
                <w:bCs/>
                <w:lang w:val="en-US"/>
              </w:rPr>
              <w:t>is hereby established</w:t>
            </w:r>
            <w:proofErr w:type="gramEnd"/>
            <w:r w:rsidRPr="00847AE8">
              <w:rPr>
                <w:rFonts w:ascii="Calibri" w:eastAsia="Calibri" w:hAnsi="Calibri" w:cs="Times New Roman"/>
                <w:bCs/>
                <w:lang w:val="en-US"/>
              </w:rPr>
              <w:t xml:space="preserve"> under the authority and guidance of the Conference of the Parties serving as the meeting of the Parties to this Agreement for use by Parties on a voluntary basis. It shall be supervised by a body designated by the Conference of the Parties serving as the meeting of the Parties to this Agreement, and shall aim: </w:t>
            </w:r>
          </w:p>
        </w:tc>
        <w:tc>
          <w:tcPr>
            <w:tcW w:w="4673" w:type="dxa"/>
            <w:gridSpan w:val="2"/>
          </w:tcPr>
          <w:p w14:paraId="2F4B2F6D" w14:textId="77777777" w:rsidR="00363809" w:rsidRPr="00847AE8" w:rsidRDefault="00363809" w:rsidP="00A91218">
            <w:pPr>
              <w:jc w:val="center"/>
              <w:rPr>
                <w:rFonts w:ascii="Calibri" w:eastAsia="Calibri" w:hAnsi="Calibri" w:cs="Times New Roman"/>
                <w:bCs/>
                <w:i/>
                <w:lang w:val="en-US"/>
              </w:rPr>
            </w:pPr>
            <w:r w:rsidRPr="00847AE8">
              <w:rPr>
                <w:rFonts w:ascii="Calibri" w:eastAsia="Calibri" w:hAnsi="Calibri" w:cs="Times New Roman"/>
                <w:bCs/>
                <w:i/>
                <w:lang w:val="en-US"/>
              </w:rPr>
              <w:t>Creation of independent DAO (Operator).</w:t>
            </w:r>
          </w:p>
          <w:p w14:paraId="72673F70" w14:textId="77777777" w:rsidR="00363809" w:rsidRPr="00847AE8" w:rsidRDefault="00363809" w:rsidP="00A91218">
            <w:pPr>
              <w:jc w:val="center"/>
              <w:rPr>
                <w:rFonts w:ascii="Calibri" w:eastAsia="Calibri" w:hAnsi="Calibri" w:cs="Times New Roman"/>
                <w:bCs/>
                <w:i/>
                <w:lang w:val="en-US"/>
              </w:rPr>
            </w:pPr>
            <w:r w:rsidRPr="00847AE8">
              <w:rPr>
                <w:rFonts w:ascii="Calibri" w:eastAsia="Calibri" w:hAnsi="Calibri" w:cs="Times New Roman"/>
                <w:bCs/>
                <w:i/>
                <w:lang w:val="en-US"/>
              </w:rPr>
              <w:t>Creation of the List of Independent Entities (ACL Storage).</w:t>
            </w:r>
          </w:p>
          <w:p w14:paraId="7DF99987" w14:textId="77777777" w:rsidR="00363809" w:rsidRPr="00847AE8" w:rsidRDefault="00363809" w:rsidP="00A91218">
            <w:pPr>
              <w:jc w:val="center"/>
              <w:rPr>
                <w:rFonts w:ascii="Calibri" w:eastAsia="Calibri" w:hAnsi="Calibri" w:cs="Times New Roman"/>
                <w:bCs/>
                <w:lang w:val="en-US"/>
              </w:rPr>
            </w:pPr>
            <w:r w:rsidRPr="00847AE8">
              <w:rPr>
                <w:rFonts w:ascii="Calibri" w:eastAsia="Calibri" w:hAnsi="Calibri" w:cs="Times New Roman"/>
                <w:bCs/>
                <w:i/>
                <w:lang w:val="en-US"/>
              </w:rPr>
              <w:t>Creation of SDM Token Market</w:t>
            </w:r>
          </w:p>
          <w:p w14:paraId="6B83DB55"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 xml:space="preserve">UNFCCC body designated by the Conference creates DAO (Operator), </w:t>
            </w:r>
          </w:p>
          <w:p w14:paraId="3C823F7E"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 xml:space="preserve">creates List of Independent Entities, </w:t>
            </w:r>
          </w:p>
          <w:p w14:paraId="6BCAA91A"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creates SDM token</w:t>
            </w:r>
            <w:r w:rsidR="004F4CC3">
              <w:rPr>
                <w:rFonts w:ascii="Calibri" w:eastAsia="Calibri" w:hAnsi="Calibri" w:cs="Times New Roman"/>
                <w:bCs/>
                <w:lang w:val="en-US"/>
              </w:rPr>
              <w:t xml:space="preserve"> and SDM</w:t>
            </w:r>
            <w:r w:rsidRPr="00847AE8">
              <w:rPr>
                <w:rFonts w:ascii="Calibri" w:eastAsia="Calibri" w:hAnsi="Calibri" w:cs="Times New Roman"/>
                <w:bCs/>
                <w:lang w:val="en-US"/>
              </w:rPr>
              <w:t xml:space="preserve"> Market</w:t>
            </w:r>
          </w:p>
        </w:tc>
      </w:tr>
      <w:tr w:rsidR="00363809" w:rsidRPr="0086360B" w14:paraId="3EA74FA9" w14:textId="77777777" w:rsidTr="00A91218">
        <w:tc>
          <w:tcPr>
            <w:tcW w:w="4672" w:type="dxa"/>
          </w:tcPr>
          <w:p w14:paraId="45A9E7FC" w14:textId="77777777" w:rsidR="00363809" w:rsidRPr="00847AE8" w:rsidRDefault="00363809" w:rsidP="00A91218">
            <w:pPr>
              <w:rPr>
                <w:rFonts w:ascii="Calibri" w:eastAsia="Calibri" w:hAnsi="Calibri" w:cs="Times New Roman"/>
                <w:bCs/>
                <w:lang w:val="en-US"/>
              </w:rPr>
            </w:pPr>
          </w:p>
          <w:p w14:paraId="223598CC" w14:textId="77777777" w:rsidR="00363809" w:rsidRPr="00847AE8" w:rsidRDefault="00363809" w:rsidP="00A91218">
            <w:pPr>
              <w:ind w:left="708"/>
              <w:rPr>
                <w:rFonts w:ascii="Calibri" w:eastAsia="Calibri" w:hAnsi="Calibri" w:cs="Times New Roman"/>
                <w:bCs/>
                <w:lang w:val="en-US"/>
              </w:rPr>
            </w:pPr>
            <w:r w:rsidRPr="00847AE8">
              <w:rPr>
                <w:rFonts w:ascii="Calibri" w:eastAsia="Calibri" w:hAnsi="Calibri" w:cs="Times New Roman"/>
                <w:bCs/>
                <w:lang w:val="en-US"/>
              </w:rPr>
              <w:t xml:space="preserve">(a) To promote the mitigation of greenhouse gas emissions while fostering sustainable development;  </w:t>
            </w:r>
          </w:p>
        </w:tc>
        <w:tc>
          <w:tcPr>
            <w:tcW w:w="4673" w:type="dxa"/>
            <w:gridSpan w:val="2"/>
          </w:tcPr>
          <w:p w14:paraId="7D339350" w14:textId="77777777" w:rsidR="00363809" w:rsidRPr="00847AE8" w:rsidRDefault="00363809" w:rsidP="00A91218">
            <w:pPr>
              <w:rPr>
                <w:rFonts w:ascii="Calibri" w:eastAsia="Calibri" w:hAnsi="Calibri" w:cs="Times New Roman"/>
                <w:bCs/>
                <w:lang w:val="en-US"/>
              </w:rPr>
            </w:pPr>
          </w:p>
        </w:tc>
      </w:tr>
      <w:tr w:rsidR="00363809" w:rsidRPr="0086360B" w14:paraId="0C0D2BBE" w14:textId="77777777" w:rsidTr="00A91218">
        <w:tc>
          <w:tcPr>
            <w:tcW w:w="4672" w:type="dxa"/>
          </w:tcPr>
          <w:p w14:paraId="33A7D9F1" w14:textId="77777777" w:rsidR="00363809" w:rsidRPr="00847AE8" w:rsidRDefault="00363809" w:rsidP="00A91218">
            <w:pPr>
              <w:ind w:left="708"/>
              <w:rPr>
                <w:rFonts w:ascii="Calibri" w:eastAsia="Calibri" w:hAnsi="Calibri" w:cs="Times New Roman"/>
                <w:bCs/>
                <w:lang w:val="en-US"/>
              </w:rPr>
            </w:pPr>
            <w:r w:rsidRPr="00847AE8">
              <w:rPr>
                <w:rFonts w:ascii="Calibri" w:eastAsia="Calibri" w:hAnsi="Calibri" w:cs="Times New Roman"/>
                <w:bCs/>
                <w:lang w:val="en-US"/>
              </w:rPr>
              <w:t>(b) To incentivize and facilitate participation in the mitigation of greenhouse gas emissions by public and private entities authorized by a Party;</w:t>
            </w:r>
          </w:p>
        </w:tc>
        <w:tc>
          <w:tcPr>
            <w:tcW w:w="4673" w:type="dxa"/>
            <w:gridSpan w:val="2"/>
          </w:tcPr>
          <w:p w14:paraId="4960BA55" w14:textId="77777777" w:rsidR="00363809" w:rsidRPr="00847AE8" w:rsidRDefault="00363809" w:rsidP="00A91218">
            <w:pPr>
              <w:jc w:val="center"/>
              <w:rPr>
                <w:rFonts w:ascii="Calibri" w:eastAsia="Calibri" w:hAnsi="Calibri" w:cs="Times New Roman"/>
                <w:bCs/>
                <w:i/>
                <w:lang w:val="en-US"/>
              </w:rPr>
            </w:pPr>
            <w:r w:rsidRPr="00847AE8">
              <w:rPr>
                <w:rFonts w:ascii="Calibri" w:eastAsia="Calibri" w:hAnsi="Calibri" w:cs="Times New Roman"/>
                <w:bCs/>
                <w:i/>
                <w:lang w:val="en-US"/>
              </w:rPr>
              <w:t>Issuers addresses and contracts</w:t>
            </w:r>
          </w:p>
          <w:p w14:paraId="1ED9292B"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The Operator shall approve the addresses (list as SDM Agents) and Issuers’ contracts only for the Issuers’ listed as Agents by respective Party Operator (see p.2</w:t>
            </w:r>
            <w:r w:rsidRPr="00847AE8">
              <w:rPr>
                <w:rFonts w:ascii="Calibri" w:eastAsia="Calibri" w:hAnsi="Calibri" w:cs="Times New Roman"/>
                <w:bCs/>
                <w:i/>
                <w:lang w:val="en-US"/>
              </w:rPr>
              <w:t xml:space="preserve"> Issuance of ITMO via Security Reserve or Security Deposit Contracts</w:t>
            </w:r>
            <w:r w:rsidRPr="00847AE8">
              <w:rPr>
                <w:rFonts w:ascii="Calibri" w:eastAsia="Calibri" w:hAnsi="Calibri" w:cs="Times New Roman"/>
                <w:bCs/>
                <w:lang w:val="en-US"/>
              </w:rPr>
              <w:t xml:space="preserve"> above)</w:t>
            </w:r>
          </w:p>
        </w:tc>
      </w:tr>
      <w:tr w:rsidR="00363809" w:rsidRPr="00847AE8" w14:paraId="7DC91886" w14:textId="77777777" w:rsidTr="00A91218">
        <w:tc>
          <w:tcPr>
            <w:tcW w:w="4672" w:type="dxa"/>
          </w:tcPr>
          <w:p w14:paraId="7053D8AF" w14:textId="77777777" w:rsidR="00363809" w:rsidRPr="00847AE8" w:rsidRDefault="00363809" w:rsidP="00A91218">
            <w:pPr>
              <w:ind w:left="708"/>
              <w:rPr>
                <w:rFonts w:ascii="Calibri" w:eastAsia="Calibri" w:hAnsi="Calibri" w:cs="Times New Roman"/>
                <w:bCs/>
                <w:lang w:val="en-US"/>
              </w:rPr>
            </w:pPr>
            <w:r w:rsidRPr="00847AE8">
              <w:rPr>
                <w:rFonts w:ascii="Calibri" w:eastAsia="Calibri" w:hAnsi="Calibri" w:cs="Times New Roman"/>
                <w:bCs/>
                <w:lang w:val="en-US"/>
              </w:rPr>
              <w:lastRenderedPageBreak/>
              <w:t>(c) To contribute to the reduction of emission levels in the host Party, which will benefit from mitigation activities resulting in emission reductions that can also be used by another Party to fulfil its nationally determined contribution; and</w:t>
            </w:r>
          </w:p>
        </w:tc>
        <w:tc>
          <w:tcPr>
            <w:tcW w:w="4673" w:type="dxa"/>
            <w:gridSpan w:val="2"/>
          </w:tcPr>
          <w:p w14:paraId="5BACA869" w14:textId="77777777" w:rsidR="00363809" w:rsidRPr="00847AE8" w:rsidRDefault="00363809" w:rsidP="00A91218">
            <w:pPr>
              <w:jc w:val="center"/>
              <w:rPr>
                <w:rFonts w:ascii="Calibri" w:eastAsia="Calibri" w:hAnsi="Calibri" w:cs="Times New Roman"/>
                <w:bCs/>
                <w:i/>
                <w:lang w:val="en-US"/>
              </w:rPr>
            </w:pPr>
            <w:r w:rsidRPr="00847AE8">
              <w:rPr>
                <w:rFonts w:ascii="Calibri" w:eastAsia="Calibri" w:hAnsi="Calibri" w:cs="Times New Roman"/>
                <w:bCs/>
                <w:i/>
                <w:lang w:val="en-US"/>
              </w:rPr>
              <w:t>Complier Contracts</w:t>
            </w:r>
          </w:p>
          <w:p w14:paraId="09C5A149"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 xml:space="preserve">SDM tokens (emission reductions) </w:t>
            </w:r>
            <w:proofErr w:type="gramStart"/>
            <w:r w:rsidRPr="00847AE8">
              <w:rPr>
                <w:rFonts w:ascii="Calibri" w:eastAsia="Calibri" w:hAnsi="Calibri" w:cs="Times New Roman"/>
                <w:bCs/>
                <w:lang w:val="en-US"/>
              </w:rPr>
              <w:t>shall be used</w:t>
            </w:r>
            <w:proofErr w:type="gramEnd"/>
            <w:r w:rsidRPr="00847AE8">
              <w:rPr>
                <w:rFonts w:ascii="Calibri" w:eastAsia="Calibri" w:hAnsi="Calibri" w:cs="Times New Roman"/>
                <w:bCs/>
                <w:lang w:val="en-US"/>
              </w:rPr>
              <w:t xml:space="preserve"> by another Party to fulfil its nationally determined contribution via respective Party (Operator) Compliers Contracts. Only the units ‘burnt’ (irrevocably retired) at specific Compliers’ Contract(s) may be accounted to fulfill NDC. (see p. 3 </w:t>
            </w:r>
            <w:r w:rsidRPr="00847AE8">
              <w:rPr>
                <w:rFonts w:ascii="Calibri" w:eastAsia="Calibri" w:hAnsi="Calibri" w:cs="Times New Roman"/>
                <w:bCs/>
                <w:i/>
                <w:lang w:val="en-US"/>
              </w:rPr>
              <w:t xml:space="preserve">Complier Contract </w:t>
            </w:r>
            <w:r w:rsidRPr="00847AE8">
              <w:rPr>
                <w:rFonts w:ascii="Calibri" w:eastAsia="Calibri" w:hAnsi="Calibri" w:cs="Times New Roman"/>
                <w:bCs/>
                <w:lang w:val="en-US"/>
              </w:rPr>
              <w:t>above)</w:t>
            </w:r>
          </w:p>
        </w:tc>
      </w:tr>
      <w:tr w:rsidR="00363809" w:rsidRPr="0086360B" w14:paraId="46763114" w14:textId="77777777" w:rsidTr="00A91218">
        <w:tc>
          <w:tcPr>
            <w:tcW w:w="4672" w:type="dxa"/>
          </w:tcPr>
          <w:p w14:paraId="26BED6ED" w14:textId="77777777" w:rsidR="00363809" w:rsidRPr="00847AE8" w:rsidRDefault="00363809" w:rsidP="00A91218">
            <w:pPr>
              <w:ind w:left="708"/>
              <w:rPr>
                <w:rFonts w:ascii="Calibri" w:eastAsia="Calibri" w:hAnsi="Calibri" w:cs="Times New Roman"/>
                <w:bCs/>
                <w:lang w:val="en-US"/>
              </w:rPr>
            </w:pPr>
            <w:r w:rsidRPr="00847AE8">
              <w:rPr>
                <w:rFonts w:ascii="Calibri" w:eastAsia="Calibri" w:hAnsi="Calibri" w:cs="Times New Roman"/>
                <w:bCs/>
                <w:lang w:val="en-US"/>
              </w:rPr>
              <w:t xml:space="preserve">(d) To deliver an overall mitigation in global emissions. </w:t>
            </w:r>
          </w:p>
        </w:tc>
        <w:tc>
          <w:tcPr>
            <w:tcW w:w="4673" w:type="dxa"/>
            <w:gridSpan w:val="2"/>
          </w:tcPr>
          <w:p w14:paraId="0247FA86" w14:textId="77777777" w:rsidR="00363809" w:rsidRPr="00847AE8" w:rsidRDefault="00363809" w:rsidP="00A91218">
            <w:pPr>
              <w:jc w:val="center"/>
              <w:rPr>
                <w:rFonts w:ascii="Calibri" w:eastAsia="Calibri" w:hAnsi="Calibri" w:cs="Times New Roman"/>
                <w:bCs/>
                <w:i/>
                <w:lang w:val="en-US"/>
              </w:rPr>
            </w:pPr>
            <w:r w:rsidRPr="00847AE8">
              <w:rPr>
                <w:rFonts w:ascii="Calibri" w:eastAsia="Calibri" w:hAnsi="Calibri" w:cs="Times New Roman"/>
                <w:bCs/>
                <w:i/>
                <w:lang w:val="en-US"/>
              </w:rPr>
              <w:t>Quantified Impact module</w:t>
            </w:r>
          </w:p>
          <w:p w14:paraId="1E62918B" w14:textId="77777777" w:rsidR="00363809" w:rsidRPr="00847AE8" w:rsidRDefault="00363809" w:rsidP="00A91218">
            <w:pPr>
              <w:jc w:val="center"/>
              <w:rPr>
                <w:rFonts w:ascii="Calibri" w:eastAsia="Calibri" w:hAnsi="Calibri" w:cs="Times New Roman"/>
                <w:bCs/>
                <w:lang w:val="en-US"/>
              </w:rPr>
            </w:pPr>
            <w:r w:rsidRPr="00847AE8">
              <w:rPr>
                <w:rFonts w:ascii="Calibri" w:eastAsia="Calibri" w:hAnsi="Calibri" w:cs="Times New Roman"/>
                <w:bCs/>
                <w:lang w:val="en-US"/>
              </w:rPr>
              <w:t xml:space="preserve">Emission reductions represented by SDM tokens should actually reduce registered quantified impact or restrain quantified commitments </w:t>
            </w:r>
          </w:p>
        </w:tc>
      </w:tr>
      <w:tr w:rsidR="00363809" w:rsidRPr="0086360B" w14:paraId="45C16658" w14:textId="77777777" w:rsidTr="00A91218">
        <w:tc>
          <w:tcPr>
            <w:tcW w:w="4672" w:type="dxa"/>
          </w:tcPr>
          <w:p w14:paraId="3F45A3DB"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 xml:space="preserve">5. Emission reductions resulting from the mechanism referred to in paragraph 4 of this Article </w:t>
            </w:r>
            <w:proofErr w:type="gramStart"/>
            <w:r w:rsidRPr="00847AE8">
              <w:rPr>
                <w:rFonts w:ascii="Calibri" w:eastAsia="Calibri" w:hAnsi="Calibri" w:cs="Times New Roman"/>
                <w:bCs/>
                <w:lang w:val="en-US"/>
              </w:rPr>
              <w:t>shall not be used</w:t>
            </w:r>
            <w:proofErr w:type="gramEnd"/>
            <w:r w:rsidRPr="00847AE8">
              <w:rPr>
                <w:rFonts w:ascii="Calibri" w:eastAsia="Calibri" w:hAnsi="Calibri" w:cs="Times New Roman"/>
                <w:bCs/>
                <w:lang w:val="en-US"/>
              </w:rPr>
              <w:t xml:space="preserve"> to demonstrate achievement of the host Party’s nationally determined contribution if used by another Party to demonstrate achievement of its nationally determined contribution. </w:t>
            </w:r>
          </w:p>
          <w:p w14:paraId="6DABEF5C" w14:textId="77777777" w:rsidR="00363809" w:rsidRPr="00847AE8" w:rsidRDefault="00363809" w:rsidP="00A91218">
            <w:pPr>
              <w:rPr>
                <w:rFonts w:ascii="Calibri" w:eastAsia="Calibri" w:hAnsi="Calibri" w:cs="Times New Roman"/>
                <w:bCs/>
                <w:lang w:val="en-US"/>
              </w:rPr>
            </w:pPr>
          </w:p>
        </w:tc>
        <w:tc>
          <w:tcPr>
            <w:tcW w:w="4673" w:type="dxa"/>
            <w:gridSpan w:val="2"/>
          </w:tcPr>
          <w:p w14:paraId="780A7E5A" w14:textId="77777777" w:rsidR="00363809" w:rsidRPr="00847AE8" w:rsidRDefault="00363809" w:rsidP="00A91218">
            <w:pPr>
              <w:jc w:val="center"/>
              <w:rPr>
                <w:rFonts w:ascii="Calibri" w:eastAsia="Calibri" w:hAnsi="Calibri" w:cs="Times New Roman"/>
                <w:bCs/>
                <w:i/>
                <w:lang w:val="en-US"/>
              </w:rPr>
            </w:pPr>
            <w:r w:rsidRPr="00847AE8">
              <w:rPr>
                <w:rFonts w:ascii="Calibri" w:eastAsia="Calibri" w:hAnsi="Calibri" w:cs="Times New Roman"/>
                <w:bCs/>
                <w:i/>
                <w:lang w:val="en-US"/>
              </w:rPr>
              <w:t>Issuance of environmental units via Security Reserve or Security Deposit Contracts.</w:t>
            </w:r>
          </w:p>
          <w:p w14:paraId="459E2C1F" w14:textId="77777777" w:rsidR="00363809" w:rsidRPr="00847AE8" w:rsidRDefault="00363809" w:rsidP="00A91218">
            <w:pPr>
              <w:jc w:val="center"/>
              <w:rPr>
                <w:rFonts w:ascii="Calibri" w:eastAsia="Calibri" w:hAnsi="Calibri" w:cs="Times New Roman"/>
                <w:bCs/>
                <w:i/>
                <w:lang w:val="en-US"/>
              </w:rPr>
            </w:pPr>
            <w:r w:rsidRPr="00847AE8">
              <w:rPr>
                <w:rFonts w:ascii="Calibri" w:eastAsia="Calibri" w:hAnsi="Calibri" w:cs="Times New Roman"/>
                <w:bCs/>
                <w:i/>
                <w:lang w:val="en-US"/>
              </w:rPr>
              <w:t>Quantified commitments and Quantified impact module</w:t>
            </w:r>
          </w:p>
          <w:p w14:paraId="600F6A9D"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Once issued emission reductions (represented</w:t>
            </w:r>
            <w:r w:rsidR="00412FA7" w:rsidRPr="00412FA7">
              <w:rPr>
                <w:rFonts w:ascii="Calibri" w:eastAsia="Calibri" w:hAnsi="Calibri" w:cs="Times New Roman"/>
                <w:bCs/>
                <w:lang w:val="en-US"/>
              </w:rPr>
              <w:t xml:space="preserve"> </w:t>
            </w:r>
            <w:r w:rsidR="00412FA7">
              <w:rPr>
                <w:rFonts w:ascii="Calibri" w:eastAsia="Calibri" w:hAnsi="Calibri" w:cs="Times New Roman"/>
                <w:bCs/>
                <w:lang w:val="en-US"/>
              </w:rPr>
              <w:t>by</w:t>
            </w:r>
            <w:r w:rsidRPr="00847AE8">
              <w:rPr>
                <w:rFonts w:ascii="Calibri" w:eastAsia="Calibri" w:hAnsi="Calibri" w:cs="Times New Roman"/>
                <w:bCs/>
                <w:lang w:val="en-US"/>
              </w:rPr>
              <w:t xml:space="preserve"> SDM tokens) </w:t>
            </w:r>
            <w:proofErr w:type="gramStart"/>
            <w:r w:rsidRPr="00847AE8">
              <w:rPr>
                <w:rFonts w:ascii="Calibri" w:eastAsia="Calibri" w:hAnsi="Calibri" w:cs="Times New Roman"/>
                <w:bCs/>
                <w:lang w:val="en-US"/>
              </w:rPr>
              <w:t>are deducted</w:t>
            </w:r>
            <w:proofErr w:type="gramEnd"/>
            <w:r w:rsidRPr="00847AE8">
              <w:rPr>
                <w:rFonts w:ascii="Calibri" w:eastAsia="Calibri" w:hAnsi="Calibri" w:cs="Times New Roman"/>
                <w:bCs/>
                <w:lang w:val="en-US"/>
              </w:rPr>
              <w:t xml:space="preserve"> from respective Party NDC, which arithmetically means increase of Quantified Impact and decrease of mitigation contribution (Quantified commitment) by the amount of tCO2e reflected in SDM tokens.</w:t>
            </w:r>
          </w:p>
          <w:p w14:paraId="4A7A0292" w14:textId="77777777" w:rsidR="00363809" w:rsidRPr="00847AE8" w:rsidRDefault="00363809" w:rsidP="00A91218">
            <w:pPr>
              <w:rPr>
                <w:rFonts w:ascii="Calibri" w:eastAsia="Calibri" w:hAnsi="Calibri" w:cs="Times New Roman"/>
                <w:bCs/>
                <w:lang w:val="en-US"/>
              </w:rPr>
            </w:pPr>
          </w:p>
        </w:tc>
      </w:tr>
      <w:tr w:rsidR="00363809" w:rsidRPr="0086360B" w14:paraId="37BF7133" w14:textId="77777777" w:rsidTr="00A91218">
        <w:tc>
          <w:tcPr>
            <w:tcW w:w="4672" w:type="dxa"/>
          </w:tcPr>
          <w:p w14:paraId="27800680" w14:textId="77777777" w:rsidR="00363809" w:rsidRPr="00847AE8" w:rsidRDefault="00363809" w:rsidP="00A91218">
            <w:pPr>
              <w:rPr>
                <w:rFonts w:ascii="Calibri" w:eastAsia="Calibri" w:hAnsi="Calibri" w:cs="Times New Roman"/>
                <w:bCs/>
                <w:lang w:val="en-US"/>
              </w:rPr>
            </w:pPr>
            <w:proofErr w:type="gramStart"/>
            <w:r w:rsidRPr="00847AE8">
              <w:rPr>
                <w:rFonts w:ascii="Calibri" w:eastAsia="Calibri" w:hAnsi="Calibri" w:cs="Times New Roman"/>
                <w:bCs/>
                <w:lang w:val="en-US"/>
              </w:rPr>
              <w:t>6. The Conference of the Parties serving as the meeting of the Parties to this Agreement shall ensure that a share of the proceeds from activities under the mechanism referred to in paragraph 4 of this Article is used to cover administrative expenses as well as to assist developing country Parties that are particularly vulnerable to the adverse effects of climate change to meet the costs of adaptation.</w:t>
            </w:r>
            <w:proofErr w:type="gramEnd"/>
            <w:r w:rsidRPr="00847AE8">
              <w:rPr>
                <w:rFonts w:ascii="Calibri" w:eastAsia="Calibri" w:hAnsi="Calibri" w:cs="Times New Roman"/>
                <w:bCs/>
                <w:lang w:val="en-US"/>
              </w:rPr>
              <w:t xml:space="preserve"> </w:t>
            </w:r>
          </w:p>
          <w:p w14:paraId="75862FBE" w14:textId="77777777" w:rsidR="00363809" w:rsidRPr="00847AE8" w:rsidRDefault="00363809" w:rsidP="00A91218">
            <w:pPr>
              <w:rPr>
                <w:rFonts w:ascii="Calibri" w:eastAsia="Calibri" w:hAnsi="Calibri" w:cs="Times New Roman"/>
                <w:bCs/>
                <w:lang w:val="en-US"/>
              </w:rPr>
            </w:pPr>
          </w:p>
        </w:tc>
        <w:tc>
          <w:tcPr>
            <w:tcW w:w="4673" w:type="dxa"/>
            <w:gridSpan w:val="2"/>
          </w:tcPr>
          <w:p w14:paraId="37E284A9" w14:textId="77777777" w:rsidR="00363809" w:rsidRPr="00847AE8" w:rsidRDefault="00363809" w:rsidP="00A91218">
            <w:pPr>
              <w:jc w:val="center"/>
              <w:rPr>
                <w:rFonts w:ascii="Calibri" w:eastAsia="Calibri" w:hAnsi="Calibri" w:cs="Times New Roman"/>
                <w:bCs/>
                <w:i/>
                <w:lang w:val="en-US"/>
              </w:rPr>
            </w:pPr>
            <w:r w:rsidRPr="00847AE8">
              <w:rPr>
                <w:rFonts w:ascii="Calibri" w:eastAsia="Calibri" w:hAnsi="Calibri" w:cs="Times New Roman"/>
                <w:bCs/>
                <w:i/>
                <w:lang w:val="en-US"/>
              </w:rPr>
              <w:t>Commission fees</w:t>
            </w:r>
          </w:p>
          <w:p w14:paraId="08080BF5" w14:textId="77777777" w:rsidR="00363809" w:rsidRPr="00847AE8" w:rsidRDefault="00363809" w:rsidP="00A91218">
            <w:pPr>
              <w:rPr>
                <w:rFonts w:ascii="Calibri" w:eastAsia="Calibri" w:hAnsi="Calibri" w:cs="Times New Roman"/>
                <w:bCs/>
                <w:lang w:val="en-US"/>
              </w:rPr>
            </w:pPr>
            <w:r w:rsidRPr="00847AE8">
              <w:rPr>
                <w:rFonts w:ascii="Calibri" w:eastAsia="Calibri" w:hAnsi="Calibri" w:cs="Times New Roman"/>
                <w:bCs/>
                <w:lang w:val="en-US"/>
              </w:rPr>
              <w:t>Commission fees in DAO IPCI are established by independent Operators</w:t>
            </w:r>
          </w:p>
        </w:tc>
      </w:tr>
    </w:tbl>
    <w:p w14:paraId="46667809" w14:textId="77777777" w:rsidR="00363809" w:rsidRDefault="00363809" w:rsidP="00363809">
      <w:pPr>
        <w:jc w:val="both"/>
        <w:rPr>
          <w:lang w:val="en-US"/>
        </w:rPr>
      </w:pPr>
    </w:p>
    <w:p w14:paraId="663E180C" w14:textId="4364F27C" w:rsidR="003F3A8D" w:rsidRDefault="00DA2332" w:rsidP="00363809">
      <w:pPr>
        <w:jc w:val="both"/>
        <w:rPr>
          <w:lang w:val="en-US"/>
        </w:rPr>
      </w:pPr>
      <w:r>
        <w:rPr>
          <w:lang w:val="en-US"/>
        </w:rPr>
        <w:t>Article 6 of the Paris Agreement implies two mechanisms issue and trade carbon offset credits: bilateral, analogue of the Kyoto Protocol Joint implementation and ‘centralized’</w:t>
      </w:r>
      <w:r w:rsidR="003F3A8D">
        <w:rPr>
          <w:lang w:val="en-US"/>
        </w:rPr>
        <w:t xml:space="preserve"> Sustainable Development Mechanism</w:t>
      </w:r>
      <w:r>
        <w:rPr>
          <w:lang w:val="en-US"/>
        </w:rPr>
        <w:t xml:space="preserve">, </w:t>
      </w:r>
      <w:r w:rsidR="003F3A8D">
        <w:rPr>
          <w:lang w:val="en-US"/>
        </w:rPr>
        <w:t xml:space="preserve">analogue of the Kyoto Protocol Clean Development Mechanism. DAO IPCI provides for both mechanisms to </w:t>
      </w:r>
      <w:proofErr w:type="gramStart"/>
      <w:r w:rsidR="003F3A8D">
        <w:rPr>
          <w:lang w:val="en-US"/>
        </w:rPr>
        <w:t>be activated</w:t>
      </w:r>
      <w:proofErr w:type="gramEnd"/>
      <w:r w:rsidR="003F3A8D">
        <w:rPr>
          <w:lang w:val="en-US"/>
        </w:rPr>
        <w:t xml:space="preserve"> on the public blockchain platform.</w:t>
      </w:r>
    </w:p>
    <w:p w14:paraId="7828DF9D" w14:textId="37713F86" w:rsidR="006C3468" w:rsidRDefault="003F3A8D" w:rsidP="00AB0968">
      <w:pPr>
        <w:rPr>
          <w:lang w:val="en-US"/>
        </w:rPr>
      </w:pPr>
      <w:r w:rsidRPr="00B73CB5">
        <w:rPr>
          <w:b/>
          <w:i/>
          <w:lang w:val="en-US"/>
        </w:rPr>
        <w:lastRenderedPageBreak/>
        <w:t xml:space="preserve">Figure </w:t>
      </w:r>
      <w:r>
        <w:rPr>
          <w:b/>
          <w:i/>
          <w:lang w:val="en-US"/>
        </w:rPr>
        <w:t>1</w:t>
      </w:r>
      <w:r w:rsidR="00AB0968">
        <w:rPr>
          <w:b/>
          <w:i/>
          <w:lang w:val="en-US"/>
        </w:rPr>
        <w:t>0</w:t>
      </w:r>
      <w:r w:rsidRPr="00B73CB5">
        <w:rPr>
          <w:b/>
          <w:i/>
          <w:lang w:val="en-US"/>
        </w:rPr>
        <w:t xml:space="preserve"> – </w:t>
      </w:r>
      <w:r>
        <w:rPr>
          <w:b/>
          <w:i/>
          <w:lang w:val="en-US"/>
        </w:rPr>
        <w:t xml:space="preserve">Paris Agreement Art. </w:t>
      </w:r>
      <w:proofErr w:type="gramStart"/>
      <w:r>
        <w:rPr>
          <w:b/>
          <w:i/>
          <w:lang w:val="en-US"/>
        </w:rPr>
        <w:t>6</w:t>
      </w:r>
      <w:proofErr w:type="gramEnd"/>
      <w:r>
        <w:rPr>
          <w:b/>
          <w:i/>
          <w:lang w:val="en-US"/>
        </w:rPr>
        <w:t xml:space="preserve"> bilateral mechanism</w:t>
      </w:r>
      <w:r w:rsidR="006C3468">
        <w:rPr>
          <w:noProof/>
          <w:lang w:val="en-US"/>
        </w:rPr>
        <w:drawing>
          <wp:inline distT="0" distB="0" distL="0" distR="0" wp14:anchorId="078F1C7E" wp14:editId="7A6A916B">
            <wp:extent cx="5979795" cy="36480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9795" cy="3648075"/>
                    </a:xfrm>
                    <a:prstGeom prst="rect">
                      <a:avLst/>
                    </a:prstGeom>
                    <a:noFill/>
                  </pic:spPr>
                </pic:pic>
              </a:graphicData>
            </a:graphic>
          </wp:inline>
        </w:drawing>
      </w:r>
    </w:p>
    <w:p w14:paraId="53E0ACEB" w14:textId="7DE9EC35" w:rsidR="003F3A8D" w:rsidRDefault="003F3A8D" w:rsidP="003F3A8D">
      <w:pPr>
        <w:rPr>
          <w:b/>
          <w:i/>
          <w:lang w:val="en-US"/>
        </w:rPr>
      </w:pPr>
      <w:r w:rsidRPr="00B73CB5">
        <w:rPr>
          <w:b/>
          <w:i/>
          <w:lang w:val="en-US"/>
        </w:rPr>
        <w:t xml:space="preserve">Figure </w:t>
      </w:r>
      <w:r>
        <w:rPr>
          <w:b/>
          <w:i/>
          <w:lang w:val="en-US"/>
        </w:rPr>
        <w:t>1</w:t>
      </w:r>
      <w:r w:rsidR="00AB0968">
        <w:rPr>
          <w:b/>
          <w:i/>
          <w:lang w:val="en-US"/>
        </w:rPr>
        <w:t>1</w:t>
      </w:r>
      <w:r w:rsidRPr="00B73CB5">
        <w:rPr>
          <w:b/>
          <w:i/>
          <w:lang w:val="en-US"/>
        </w:rPr>
        <w:t xml:space="preserve"> – </w:t>
      </w:r>
      <w:r>
        <w:rPr>
          <w:b/>
          <w:i/>
          <w:lang w:val="en-US"/>
        </w:rPr>
        <w:t xml:space="preserve">Paris Agreement Art. </w:t>
      </w:r>
      <w:proofErr w:type="gramStart"/>
      <w:r>
        <w:rPr>
          <w:b/>
          <w:i/>
          <w:lang w:val="en-US"/>
        </w:rPr>
        <w:t>6</w:t>
      </w:r>
      <w:proofErr w:type="gramEnd"/>
      <w:r>
        <w:rPr>
          <w:b/>
          <w:i/>
          <w:lang w:val="en-US"/>
        </w:rPr>
        <w:t xml:space="preserve"> Sustainable Development Mechanism</w:t>
      </w:r>
      <w:r>
        <w:rPr>
          <w:b/>
          <w:i/>
          <w:noProof/>
          <w:lang w:val="en-US"/>
        </w:rPr>
        <w:drawing>
          <wp:inline distT="0" distB="0" distL="0" distR="0" wp14:anchorId="1D1ECC04" wp14:editId="58AE6A66">
            <wp:extent cx="5942965" cy="367665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2965" cy="3676650"/>
                    </a:xfrm>
                    <a:prstGeom prst="rect">
                      <a:avLst/>
                    </a:prstGeom>
                    <a:noFill/>
                  </pic:spPr>
                </pic:pic>
              </a:graphicData>
            </a:graphic>
          </wp:inline>
        </w:drawing>
      </w:r>
    </w:p>
    <w:p w14:paraId="464FAA7C" w14:textId="77777777" w:rsidR="003F3A8D" w:rsidRDefault="003F3A8D" w:rsidP="00363809">
      <w:pPr>
        <w:jc w:val="both"/>
        <w:rPr>
          <w:lang w:val="en-US"/>
        </w:rPr>
      </w:pPr>
    </w:p>
    <w:p w14:paraId="6417C82F" w14:textId="77777777" w:rsidR="00F65F87" w:rsidRDefault="00F65F87">
      <w:pPr>
        <w:rPr>
          <w:rFonts w:eastAsiaTheme="minorEastAsia"/>
          <w:color w:val="5A5A5A" w:themeColor="text1" w:themeTint="A5"/>
          <w:spacing w:val="15"/>
          <w:lang w:val="en-US"/>
        </w:rPr>
      </w:pPr>
      <w:r>
        <w:rPr>
          <w:rFonts w:eastAsiaTheme="minorEastAsia"/>
          <w:color w:val="5A5A5A" w:themeColor="text1" w:themeTint="A5"/>
          <w:spacing w:val="15"/>
          <w:lang w:val="en-US"/>
        </w:rPr>
        <w:br w:type="page"/>
      </w:r>
    </w:p>
    <w:p w14:paraId="312486C6" w14:textId="598D2BE7" w:rsidR="000875DA" w:rsidRPr="0041216B" w:rsidRDefault="000875DA" w:rsidP="0041216B">
      <w:pPr>
        <w:pStyle w:val="1"/>
        <w:rPr>
          <w:lang w:val="en-US"/>
        </w:rPr>
      </w:pPr>
      <w:bookmarkStart w:id="7" w:name="_Toc515607016"/>
      <w:r w:rsidRPr="0041216B">
        <w:rPr>
          <w:lang w:val="en-US"/>
        </w:rPr>
        <w:lastRenderedPageBreak/>
        <w:t>Sch</w:t>
      </w:r>
      <w:r w:rsidR="004C3876" w:rsidRPr="0041216B">
        <w:rPr>
          <w:lang w:val="en-US"/>
        </w:rPr>
        <w:t xml:space="preserve">eme for </w:t>
      </w:r>
      <w:r w:rsidRPr="0041216B">
        <w:rPr>
          <w:lang w:val="en-US"/>
        </w:rPr>
        <w:t>Carbon Offsetting and Reduction Scheme for International Aviation (CORSIA)</w:t>
      </w:r>
      <w:bookmarkEnd w:id="7"/>
    </w:p>
    <w:p w14:paraId="6FE850D6" w14:textId="5C61E77C" w:rsidR="000875DA" w:rsidRDefault="004C3876" w:rsidP="004C3876">
      <w:pPr>
        <w:jc w:val="both"/>
        <w:rPr>
          <w:lang w:val="en-US"/>
        </w:rPr>
      </w:pPr>
      <w:r>
        <w:rPr>
          <w:lang w:val="en-US"/>
        </w:rPr>
        <w:t xml:space="preserve">Specific protocol for </w:t>
      </w:r>
      <w:r w:rsidRPr="004C3876">
        <w:rPr>
          <w:lang w:val="en-US"/>
        </w:rPr>
        <w:t>Carbon Offsetting and Reduction Scheme for International Aviation (CORSIA)</w:t>
      </w:r>
      <w:r>
        <w:rPr>
          <w:lang w:val="en-US"/>
        </w:rPr>
        <w:t xml:space="preserve"> has been developed and proposed for ICAO consideration.</w:t>
      </w:r>
    </w:p>
    <w:p w14:paraId="5FDBBD6F" w14:textId="77777777" w:rsidR="004C3876" w:rsidRDefault="004C3876" w:rsidP="004C3876">
      <w:pPr>
        <w:jc w:val="both"/>
        <w:rPr>
          <w:lang w:val="en-US"/>
        </w:rPr>
      </w:pPr>
    </w:p>
    <w:p w14:paraId="1F70F4C1" w14:textId="33601C7E" w:rsidR="004C3876" w:rsidRDefault="004C3876" w:rsidP="004C3876">
      <w:pPr>
        <w:rPr>
          <w:lang w:val="en-US"/>
        </w:rPr>
      </w:pPr>
      <w:r w:rsidRPr="004C3876">
        <w:rPr>
          <w:b/>
          <w:i/>
          <w:lang w:val="en-US"/>
        </w:rPr>
        <w:t>Figure 1</w:t>
      </w:r>
      <w:r w:rsidR="00AB0968">
        <w:rPr>
          <w:b/>
          <w:i/>
          <w:lang w:val="en-US"/>
        </w:rPr>
        <w:t>2</w:t>
      </w:r>
      <w:r w:rsidRPr="004C3876">
        <w:rPr>
          <w:b/>
          <w:i/>
          <w:lang w:val="en-US"/>
        </w:rPr>
        <w:t xml:space="preserve"> – Registration and accounting for quantified impact/commitments</w:t>
      </w:r>
      <w:r>
        <w:rPr>
          <w:noProof/>
          <w:lang w:val="en-US"/>
        </w:rPr>
        <w:drawing>
          <wp:inline distT="0" distB="0" distL="0" distR="0" wp14:anchorId="3A0794E2" wp14:editId="3B0E1F18">
            <wp:extent cx="5894705" cy="35052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4705" cy="3505200"/>
                    </a:xfrm>
                    <a:prstGeom prst="rect">
                      <a:avLst/>
                    </a:prstGeom>
                    <a:noFill/>
                  </pic:spPr>
                </pic:pic>
              </a:graphicData>
            </a:graphic>
          </wp:inline>
        </w:drawing>
      </w:r>
    </w:p>
    <w:p w14:paraId="64884F95" w14:textId="56539476" w:rsidR="004C3876" w:rsidRPr="004C3876" w:rsidRDefault="004C3876" w:rsidP="004C3876">
      <w:pPr>
        <w:rPr>
          <w:lang w:val="en-US"/>
        </w:rPr>
      </w:pPr>
      <w:r w:rsidRPr="004C3876">
        <w:rPr>
          <w:b/>
          <w:i/>
          <w:lang w:val="en-US"/>
        </w:rPr>
        <w:t xml:space="preserve">Figure </w:t>
      </w:r>
      <w:r w:rsidR="00AB0968">
        <w:rPr>
          <w:b/>
          <w:i/>
          <w:lang w:val="en-US"/>
        </w:rPr>
        <w:t>13</w:t>
      </w:r>
      <w:r w:rsidRPr="004C3876">
        <w:rPr>
          <w:b/>
          <w:i/>
          <w:lang w:val="en-US"/>
        </w:rPr>
        <w:t xml:space="preserve"> – Offsetting of quantified impact</w:t>
      </w:r>
      <w:r>
        <w:rPr>
          <w:noProof/>
          <w:lang w:val="en-US"/>
        </w:rPr>
        <w:drawing>
          <wp:inline distT="0" distB="0" distL="0" distR="0" wp14:anchorId="472FA216" wp14:editId="4393640E">
            <wp:extent cx="5796280" cy="3219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00646" cy="3221875"/>
                    </a:xfrm>
                    <a:prstGeom prst="rect">
                      <a:avLst/>
                    </a:prstGeom>
                    <a:noFill/>
                  </pic:spPr>
                </pic:pic>
              </a:graphicData>
            </a:graphic>
          </wp:inline>
        </w:drawing>
      </w:r>
    </w:p>
    <w:p w14:paraId="24A50248" w14:textId="77777777" w:rsidR="004C3876" w:rsidRDefault="004C3876">
      <w:pPr>
        <w:rPr>
          <w:rFonts w:asciiTheme="majorHAnsi" w:eastAsiaTheme="minorEastAsia" w:hAnsiTheme="majorHAnsi" w:cstheme="majorBidi"/>
          <w:color w:val="2E74B5" w:themeColor="accent1" w:themeShade="BF"/>
          <w:sz w:val="32"/>
          <w:szCs w:val="32"/>
          <w:lang w:val="en-US"/>
        </w:rPr>
      </w:pPr>
      <w:r>
        <w:rPr>
          <w:rFonts w:asciiTheme="majorHAnsi" w:eastAsiaTheme="minorEastAsia" w:hAnsiTheme="majorHAnsi" w:cstheme="majorBidi"/>
          <w:color w:val="2E74B5" w:themeColor="accent1" w:themeShade="BF"/>
          <w:sz w:val="32"/>
          <w:szCs w:val="32"/>
          <w:lang w:val="en-US"/>
        </w:rPr>
        <w:br w:type="page"/>
      </w:r>
    </w:p>
    <w:p w14:paraId="7F67A7E2" w14:textId="17DA16AF" w:rsidR="00C344C4" w:rsidRPr="0041216B" w:rsidRDefault="00C344C4" w:rsidP="0041216B">
      <w:pPr>
        <w:pStyle w:val="1"/>
        <w:rPr>
          <w:lang w:val="en-US"/>
        </w:rPr>
      </w:pPr>
      <w:bookmarkStart w:id="8" w:name="_Toc515607017"/>
      <w:r w:rsidRPr="0041216B">
        <w:rPr>
          <w:lang w:val="en-US"/>
        </w:rPr>
        <w:lastRenderedPageBreak/>
        <w:t>Mitigation Token</w:t>
      </w:r>
      <w:bookmarkEnd w:id="8"/>
    </w:p>
    <w:p w14:paraId="18C5DB64" w14:textId="681E4D39" w:rsidR="00C344C4" w:rsidRDefault="00D13515" w:rsidP="00C344C4">
      <w:pPr>
        <w:spacing w:line="256" w:lineRule="auto"/>
        <w:jc w:val="both"/>
        <w:rPr>
          <w:rFonts w:ascii="Calibri" w:eastAsia="Calibri" w:hAnsi="Calibri" w:cs="Times New Roman"/>
          <w:b/>
          <w:lang w:val="en-US"/>
        </w:rPr>
      </w:pPr>
      <w:r w:rsidRPr="005C52EA">
        <w:rPr>
          <w:rFonts w:ascii="Calibri" w:eastAsia="Calibri" w:hAnsi="Calibri" w:cs="Times New Roman"/>
          <w:b/>
          <w:lang w:val="en-US"/>
        </w:rPr>
        <w:t xml:space="preserve">Mitigation Token (MITO) </w:t>
      </w:r>
      <w:r w:rsidR="004C3876">
        <w:rPr>
          <w:rFonts w:ascii="Calibri" w:eastAsia="Calibri" w:hAnsi="Calibri" w:cs="Times New Roman"/>
          <w:b/>
          <w:lang w:val="en-US"/>
        </w:rPr>
        <w:t>is</w:t>
      </w:r>
      <w:r w:rsidRPr="00CC2DDD">
        <w:rPr>
          <w:rFonts w:ascii="Calibri" w:eastAsia="Calibri" w:hAnsi="Calibri" w:cs="Times New Roman"/>
          <w:b/>
          <w:lang w:val="en-US"/>
        </w:rPr>
        <w:t xml:space="preserve"> </w:t>
      </w:r>
      <w:r w:rsidR="0029564F">
        <w:rPr>
          <w:rFonts w:ascii="Calibri" w:eastAsia="Calibri" w:hAnsi="Calibri" w:cs="Times New Roman"/>
          <w:b/>
          <w:lang w:val="en-US"/>
        </w:rPr>
        <w:t xml:space="preserve">digital </w:t>
      </w:r>
      <w:r w:rsidR="00AB0968">
        <w:rPr>
          <w:rFonts w:ascii="Calibri" w:eastAsia="Calibri" w:hAnsi="Calibri" w:cs="Times New Roman"/>
          <w:b/>
          <w:lang w:val="en-US"/>
        </w:rPr>
        <w:t>currency</w:t>
      </w:r>
      <w:r w:rsidR="0029564F">
        <w:rPr>
          <w:rFonts w:ascii="Calibri" w:eastAsia="Calibri" w:hAnsi="Calibri" w:cs="Times New Roman"/>
          <w:b/>
          <w:lang w:val="en-US"/>
        </w:rPr>
        <w:t>,</w:t>
      </w:r>
      <w:r>
        <w:rPr>
          <w:rFonts w:ascii="Calibri" w:eastAsia="Calibri" w:hAnsi="Calibri" w:cs="Times New Roman"/>
          <w:b/>
          <w:lang w:val="en-US"/>
        </w:rPr>
        <w:t xml:space="preserve"> </w:t>
      </w:r>
      <w:r w:rsidR="00C33880">
        <w:rPr>
          <w:rFonts w:ascii="Calibri" w:eastAsia="Calibri" w:hAnsi="Calibri" w:cs="Times New Roman"/>
          <w:b/>
          <w:lang w:val="en-US"/>
        </w:rPr>
        <w:t xml:space="preserve">utility/payment </w:t>
      </w:r>
      <w:r w:rsidR="004C3876">
        <w:rPr>
          <w:rFonts w:ascii="Calibri" w:eastAsia="Calibri" w:hAnsi="Calibri" w:cs="Times New Roman"/>
          <w:b/>
          <w:lang w:val="en-US"/>
        </w:rPr>
        <w:t>token</w:t>
      </w:r>
      <w:r w:rsidR="00AD468F">
        <w:rPr>
          <w:rFonts w:ascii="Calibri" w:eastAsia="Calibri" w:hAnsi="Calibri" w:cs="Times New Roman"/>
          <w:b/>
          <w:lang w:val="en-US"/>
        </w:rPr>
        <w:t>,</w:t>
      </w:r>
      <w:r w:rsidRPr="00CC2DDD">
        <w:rPr>
          <w:rFonts w:ascii="Calibri" w:eastAsia="Calibri" w:hAnsi="Calibri" w:cs="Times New Roman"/>
          <w:b/>
          <w:lang w:val="en-US"/>
        </w:rPr>
        <w:t xml:space="preserve"> which </w:t>
      </w:r>
      <w:proofErr w:type="gramStart"/>
      <w:r w:rsidR="004C3876">
        <w:rPr>
          <w:rFonts w:ascii="Calibri" w:eastAsia="Calibri" w:hAnsi="Calibri" w:cs="Times New Roman"/>
          <w:b/>
          <w:lang w:val="en-US"/>
        </w:rPr>
        <w:t>is</w:t>
      </w:r>
      <w:r w:rsidRPr="00CC2DDD">
        <w:rPr>
          <w:rFonts w:ascii="Calibri" w:eastAsia="Calibri" w:hAnsi="Calibri" w:cs="Times New Roman"/>
          <w:b/>
          <w:lang w:val="en-US"/>
        </w:rPr>
        <w:t xml:space="preserve"> intended</w:t>
      </w:r>
      <w:proofErr w:type="gramEnd"/>
      <w:r w:rsidRPr="00CC2DDD">
        <w:rPr>
          <w:rFonts w:ascii="Calibri" w:eastAsia="Calibri" w:hAnsi="Calibri" w:cs="Times New Roman"/>
          <w:b/>
          <w:lang w:val="en-US"/>
        </w:rPr>
        <w:t xml:space="preserve"> to provide digital access to </w:t>
      </w:r>
      <w:r>
        <w:rPr>
          <w:rFonts w:ascii="Calibri" w:eastAsia="Calibri" w:hAnsi="Calibri" w:cs="Times New Roman"/>
          <w:b/>
          <w:lang w:val="en-US"/>
        </w:rPr>
        <w:t>MITO Market</w:t>
      </w:r>
      <w:r w:rsidRPr="00CC2DDD">
        <w:rPr>
          <w:rFonts w:ascii="Calibri" w:eastAsia="Calibri" w:hAnsi="Calibri" w:cs="Times New Roman"/>
          <w:b/>
          <w:lang w:val="en-US"/>
        </w:rPr>
        <w:t>.</w:t>
      </w:r>
      <w:r w:rsidRPr="005C52EA">
        <w:rPr>
          <w:rFonts w:ascii="Calibri" w:eastAsia="Calibri" w:hAnsi="Calibri" w:cs="Times New Roman"/>
          <w:b/>
          <w:lang w:val="en-US"/>
        </w:rPr>
        <w:t xml:space="preserve"> </w:t>
      </w:r>
      <w:r>
        <w:rPr>
          <w:rFonts w:ascii="Calibri" w:eastAsia="Calibri" w:hAnsi="Calibri" w:cs="Times New Roman"/>
          <w:b/>
          <w:lang w:val="en-US"/>
        </w:rPr>
        <w:t xml:space="preserve">MITO </w:t>
      </w:r>
      <w:proofErr w:type="gramStart"/>
      <w:r>
        <w:rPr>
          <w:rFonts w:ascii="Calibri" w:eastAsia="Calibri" w:hAnsi="Calibri" w:cs="Times New Roman"/>
          <w:b/>
          <w:lang w:val="en-US"/>
        </w:rPr>
        <w:t>is intended</w:t>
      </w:r>
      <w:proofErr w:type="gramEnd"/>
      <w:r>
        <w:rPr>
          <w:rFonts w:ascii="Calibri" w:eastAsia="Calibri" w:hAnsi="Calibri" w:cs="Times New Roman"/>
          <w:b/>
          <w:lang w:val="en-US"/>
        </w:rPr>
        <w:t xml:space="preserve"> to serve for the purposes of</w:t>
      </w:r>
      <w:r w:rsidRPr="005C52EA">
        <w:rPr>
          <w:rFonts w:ascii="Calibri" w:eastAsia="Calibri" w:hAnsi="Calibri" w:cs="Times New Roman"/>
          <w:b/>
          <w:lang w:val="en-US"/>
        </w:rPr>
        <w:t xml:space="preserve"> exchange of numerous and diverse </w:t>
      </w:r>
      <w:r>
        <w:rPr>
          <w:rFonts w:ascii="Calibri" w:eastAsia="Calibri" w:hAnsi="Calibri" w:cs="Times New Roman"/>
          <w:b/>
          <w:lang w:val="en-US"/>
        </w:rPr>
        <w:t xml:space="preserve">environmental units, natural capital </w:t>
      </w:r>
      <w:r w:rsidRPr="005C52EA">
        <w:rPr>
          <w:rFonts w:ascii="Calibri" w:eastAsia="Calibri" w:hAnsi="Calibri" w:cs="Times New Roman"/>
          <w:b/>
          <w:lang w:val="en-US"/>
        </w:rPr>
        <w:t>asset-based tokens representing</w:t>
      </w:r>
      <w:r>
        <w:rPr>
          <w:rFonts w:ascii="Calibri" w:eastAsia="Calibri" w:hAnsi="Calibri" w:cs="Times New Roman"/>
          <w:b/>
          <w:lang w:val="en-US"/>
        </w:rPr>
        <w:t xml:space="preserve"> </w:t>
      </w:r>
      <w:r w:rsidRPr="005C52EA">
        <w:rPr>
          <w:rFonts w:ascii="Calibri" w:eastAsia="Calibri" w:hAnsi="Calibri" w:cs="Times New Roman"/>
          <w:b/>
          <w:lang w:val="en-US"/>
        </w:rPr>
        <w:t>societal costs</w:t>
      </w:r>
      <w:r>
        <w:rPr>
          <w:rFonts w:ascii="Calibri" w:eastAsia="Calibri" w:hAnsi="Calibri" w:cs="Times New Roman"/>
          <w:b/>
          <w:lang w:val="en-US"/>
        </w:rPr>
        <w:t xml:space="preserve"> and</w:t>
      </w:r>
      <w:r w:rsidRPr="005C52EA">
        <w:rPr>
          <w:rFonts w:ascii="Calibri" w:eastAsia="Calibri" w:hAnsi="Calibri" w:cs="Times New Roman"/>
          <w:b/>
          <w:lang w:val="en-US"/>
        </w:rPr>
        <w:t xml:space="preserve"> mitigation </w:t>
      </w:r>
      <w:r w:rsidR="00C11BDE">
        <w:rPr>
          <w:rFonts w:ascii="Calibri" w:eastAsia="Calibri" w:hAnsi="Calibri" w:cs="Times New Roman"/>
          <w:b/>
          <w:lang w:val="en-US"/>
        </w:rPr>
        <w:t>instruments</w:t>
      </w:r>
      <w:r w:rsidRPr="005C52EA">
        <w:rPr>
          <w:rFonts w:ascii="Calibri" w:eastAsia="Calibri" w:hAnsi="Calibri" w:cs="Times New Roman"/>
          <w:b/>
          <w:lang w:val="en-US"/>
        </w:rPr>
        <w:t xml:space="preserve">. </w:t>
      </w:r>
      <w:r w:rsidR="00C344C4" w:rsidRPr="005C52EA">
        <w:rPr>
          <w:rFonts w:ascii="Calibri" w:eastAsia="Calibri" w:hAnsi="Calibri" w:cs="Times New Roman"/>
          <w:b/>
          <w:lang w:val="en-US"/>
        </w:rPr>
        <w:t>Namely and in the first instance, GHG emission quotas and credits are the assets that become fungible via MITO and MITO market. Distinctive characteris</w:t>
      </w:r>
      <w:r w:rsidR="004C3876">
        <w:rPr>
          <w:rFonts w:ascii="Calibri" w:eastAsia="Calibri" w:hAnsi="Calibri" w:cs="Times New Roman"/>
          <w:b/>
          <w:lang w:val="en-US"/>
        </w:rPr>
        <w:t>tics</w:t>
      </w:r>
      <w:r w:rsidR="00C344C4" w:rsidRPr="005C52EA">
        <w:rPr>
          <w:rFonts w:ascii="Calibri" w:eastAsia="Calibri" w:hAnsi="Calibri" w:cs="Times New Roman"/>
          <w:b/>
          <w:lang w:val="en-US"/>
        </w:rPr>
        <w:t xml:space="preserve"> of the two types of DAO IPCI tokens are that only one of them, MITO, is an exchange vehicle, </w:t>
      </w:r>
      <w:r w:rsidR="00C11BDE">
        <w:rPr>
          <w:rFonts w:ascii="Calibri" w:eastAsia="Calibri" w:hAnsi="Calibri" w:cs="Times New Roman"/>
          <w:b/>
          <w:lang w:val="en-US"/>
        </w:rPr>
        <w:t xml:space="preserve">a payment token, </w:t>
      </w:r>
      <w:r w:rsidR="00C344C4" w:rsidRPr="005C52EA">
        <w:rPr>
          <w:rFonts w:ascii="Calibri" w:eastAsia="Calibri" w:hAnsi="Calibri" w:cs="Times New Roman"/>
          <w:b/>
          <w:lang w:val="en-US"/>
        </w:rPr>
        <w:t xml:space="preserve">digital currency while the rest of tokens represent diverse </w:t>
      </w:r>
      <w:r w:rsidR="00C344C4">
        <w:rPr>
          <w:rFonts w:ascii="Calibri" w:eastAsia="Calibri" w:hAnsi="Calibri" w:cs="Times New Roman"/>
          <w:b/>
          <w:lang w:val="en-US"/>
        </w:rPr>
        <w:t>mitigation</w:t>
      </w:r>
      <w:r w:rsidR="00C344C4" w:rsidRPr="005C52EA">
        <w:rPr>
          <w:rFonts w:ascii="Calibri" w:eastAsia="Calibri" w:hAnsi="Calibri" w:cs="Times New Roman"/>
          <w:b/>
          <w:lang w:val="en-US"/>
        </w:rPr>
        <w:t xml:space="preserve"> compliance units</w:t>
      </w:r>
      <w:r w:rsidR="00C344C4">
        <w:rPr>
          <w:rFonts w:ascii="Calibri" w:eastAsia="Calibri" w:hAnsi="Calibri" w:cs="Times New Roman"/>
          <w:b/>
          <w:lang w:val="en-US"/>
        </w:rPr>
        <w:t>, environmental assets or natural capital assets</w:t>
      </w:r>
      <w:r w:rsidR="00C344C4" w:rsidRPr="005C52EA">
        <w:rPr>
          <w:rFonts w:ascii="Calibri" w:eastAsia="Calibri" w:hAnsi="Calibri" w:cs="Times New Roman"/>
          <w:b/>
          <w:lang w:val="en-US"/>
        </w:rPr>
        <w:t xml:space="preserve"> as underlying. </w:t>
      </w:r>
      <w:r w:rsidR="00C344C4">
        <w:rPr>
          <w:rFonts w:ascii="Calibri" w:eastAsia="Calibri" w:hAnsi="Calibri" w:cs="Times New Roman"/>
          <w:b/>
          <w:lang w:val="en-US"/>
        </w:rPr>
        <w:t xml:space="preserve">Other function of Mitigation </w:t>
      </w:r>
      <w:r w:rsidR="00C11BDE">
        <w:rPr>
          <w:rFonts w:ascii="Calibri" w:eastAsia="Calibri" w:hAnsi="Calibri" w:cs="Times New Roman"/>
          <w:b/>
          <w:lang w:val="en-US"/>
        </w:rPr>
        <w:t>T</w:t>
      </w:r>
      <w:r w:rsidR="00C344C4">
        <w:rPr>
          <w:rFonts w:ascii="Calibri" w:eastAsia="Calibri" w:hAnsi="Calibri" w:cs="Times New Roman"/>
          <w:b/>
          <w:lang w:val="en-US"/>
        </w:rPr>
        <w:t>oken is to serve as a collateral under the Security Deposit Contract, which allows for issuance of “provisional environmental units” prior to their verification.</w:t>
      </w:r>
    </w:p>
    <w:p w14:paraId="797E54E8" w14:textId="25563E9D" w:rsidR="00C344C4" w:rsidRDefault="00C344C4" w:rsidP="00C344C4">
      <w:pPr>
        <w:spacing w:line="256" w:lineRule="auto"/>
        <w:jc w:val="both"/>
        <w:rPr>
          <w:rFonts w:ascii="Calibri" w:eastAsia="Calibri" w:hAnsi="Calibri" w:cs="Times New Roman"/>
          <w:lang w:val="en-US"/>
        </w:rPr>
      </w:pPr>
      <w:r w:rsidRPr="00274397">
        <w:rPr>
          <w:rFonts w:ascii="Calibri" w:eastAsia="Calibri" w:hAnsi="Calibri" w:cs="Times New Roman"/>
          <w:lang w:val="en-US"/>
        </w:rPr>
        <w:t>Other than MITO tokens, i.e. environmental units, are issued</w:t>
      </w:r>
      <w:r w:rsidR="00C11BDE">
        <w:rPr>
          <w:rFonts w:ascii="Calibri" w:eastAsia="Calibri" w:hAnsi="Calibri" w:cs="Times New Roman"/>
          <w:lang w:val="en-US"/>
        </w:rPr>
        <w:t xml:space="preserve"> not by DAO IPCI Founders per se, but</w:t>
      </w:r>
      <w:r w:rsidRPr="00274397">
        <w:rPr>
          <w:rFonts w:ascii="Calibri" w:eastAsia="Calibri" w:hAnsi="Calibri" w:cs="Times New Roman"/>
          <w:lang w:val="en-US"/>
        </w:rPr>
        <w:t xml:space="preserve"> </w:t>
      </w:r>
      <w:r>
        <w:rPr>
          <w:rFonts w:ascii="Calibri" w:eastAsia="Calibri" w:hAnsi="Calibri" w:cs="Times New Roman"/>
          <w:lang w:val="en-US"/>
        </w:rPr>
        <w:t>by</w:t>
      </w:r>
      <w:r w:rsidRPr="00274397">
        <w:rPr>
          <w:rFonts w:ascii="Calibri" w:eastAsia="Calibri" w:hAnsi="Calibri" w:cs="Times New Roman"/>
          <w:lang w:val="en-US"/>
        </w:rPr>
        <w:t xml:space="preserve"> coordinated actions of issuers, operators and independent entities (see the section “Participants, Mitigation Programs and Environmental Units, Functional Modules and Operations”</w:t>
      </w:r>
      <w:r w:rsidRPr="002B2AD5">
        <w:rPr>
          <w:rFonts w:ascii="Calibri" w:eastAsia="Calibri" w:hAnsi="Calibri" w:cs="Times New Roman"/>
          <w:lang w:val="en-US"/>
        </w:rPr>
        <w:t xml:space="preserve"> </w:t>
      </w:r>
      <w:r>
        <w:rPr>
          <w:rFonts w:ascii="Calibri" w:eastAsia="Calibri" w:hAnsi="Calibri" w:cs="Times New Roman"/>
          <w:lang w:val="en-US"/>
        </w:rPr>
        <w:t>of the White paper</w:t>
      </w:r>
      <w:r w:rsidRPr="00274397">
        <w:rPr>
          <w:rFonts w:ascii="Calibri" w:eastAsia="Calibri" w:hAnsi="Calibri" w:cs="Times New Roman"/>
          <w:lang w:val="en-US"/>
        </w:rPr>
        <w:t>).</w:t>
      </w:r>
    </w:p>
    <w:p w14:paraId="7E8C305A" w14:textId="058017CE" w:rsidR="00C344C4" w:rsidRPr="0029564F" w:rsidRDefault="00C344C4" w:rsidP="00C344C4">
      <w:pPr>
        <w:spacing w:line="256" w:lineRule="auto"/>
        <w:jc w:val="both"/>
        <w:rPr>
          <w:rFonts w:ascii="Calibri" w:eastAsia="Calibri" w:hAnsi="Calibri" w:cs="Times New Roman"/>
          <w:lang w:val="en-US"/>
        </w:rPr>
      </w:pPr>
      <w:r w:rsidRPr="0029564F">
        <w:rPr>
          <w:rFonts w:ascii="Calibri" w:eastAsia="Calibri" w:hAnsi="Calibri" w:cs="Times New Roman"/>
          <w:lang w:val="en-US"/>
        </w:rPr>
        <w:t xml:space="preserve">As of now, </w:t>
      </w:r>
      <w:r w:rsidR="004C3876" w:rsidRPr="0029564F">
        <w:rPr>
          <w:rFonts w:ascii="Calibri" w:eastAsia="Calibri" w:hAnsi="Calibri" w:cs="Times New Roman"/>
          <w:lang w:val="en-US"/>
        </w:rPr>
        <w:t>May</w:t>
      </w:r>
      <w:r w:rsidRPr="0029564F">
        <w:rPr>
          <w:rFonts w:ascii="Calibri" w:eastAsia="Calibri" w:hAnsi="Calibri" w:cs="Times New Roman"/>
          <w:lang w:val="en-US"/>
        </w:rPr>
        <w:t xml:space="preserve"> 2018, overall </w:t>
      </w:r>
      <w:r w:rsidR="00C11BDE" w:rsidRPr="0029564F">
        <w:rPr>
          <w:rFonts w:ascii="Calibri" w:eastAsia="Calibri" w:hAnsi="Calibri" w:cs="Times New Roman"/>
          <w:lang w:val="en-US"/>
        </w:rPr>
        <w:t xml:space="preserve">more than </w:t>
      </w:r>
      <w:r w:rsidR="004C3876" w:rsidRPr="0029564F">
        <w:rPr>
          <w:rFonts w:ascii="Calibri" w:eastAsia="Calibri" w:hAnsi="Calibri" w:cs="Times New Roman"/>
          <w:lang w:val="en-US"/>
        </w:rPr>
        <w:t>1.6 million</w:t>
      </w:r>
      <w:r w:rsidRPr="0029564F">
        <w:rPr>
          <w:rFonts w:ascii="Calibri" w:eastAsia="Calibri" w:hAnsi="Calibri" w:cs="Times New Roman"/>
          <w:lang w:val="en-US"/>
        </w:rPr>
        <w:t xml:space="preserve"> environmental units </w:t>
      </w:r>
      <w:proofErr w:type="gramStart"/>
      <w:r w:rsidRPr="0029564F">
        <w:rPr>
          <w:rFonts w:ascii="Calibri" w:eastAsia="Calibri" w:hAnsi="Calibri" w:cs="Times New Roman"/>
          <w:lang w:val="en-US"/>
        </w:rPr>
        <w:t>have been issued</w:t>
      </w:r>
      <w:proofErr w:type="gramEnd"/>
      <w:r w:rsidRPr="0029564F">
        <w:rPr>
          <w:rFonts w:ascii="Calibri" w:eastAsia="Calibri" w:hAnsi="Calibri" w:cs="Times New Roman"/>
          <w:lang w:val="en-US"/>
        </w:rPr>
        <w:t xml:space="preserve"> to DAO IPCI environmental </w:t>
      </w:r>
      <w:r w:rsidR="00C11BDE" w:rsidRPr="0029564F">
        <w:rPr>
          <w:rFonts w:ascii="Calibri" w:eastAsia="Calibri" w:hAnsi="Calibri" w:cs="Times New Roman"/>
          <w:lang w:val="en-US"/>
        </w:rPr>
        <w:t>units’</w:t>
      </w:r>
      <w:r w:rsidRPr="0029564F">
        <w:rPr>
          <w:rFonts w:ascii="Calibri" w:eastAsia="Calibri" w:hAnsi="Calibri" w:cs="Times New Roman"/>
          <w:lang w:val="en-US"/>
        </w:rPr>
        <w:t xml:space="preserve"> registries under two GHG emission reduction projects. </w:t>
      </w:r>
    </w:p>
    <w:p w14:paraId="6327F86F" w14:textId="3A519824" w:rsidR="00C344C4" w:rsidRPr="0029564F" w:rsidRDefault="00C11BDE" w:rsidP="00C344C4">
      <w:pPr>
        <w:spacing w:line="256" w:lineRule="auto"/>
        <w:jc w:val="both"/>
        <w:rPr>
          <w:rFonts w:ascii="Calibri" w:eastAsia="Calibri" w:hAnsi="Calibri" w:cs="Times New Roman"/>
          <w:lang w:val="en-US"/>
        </w:rPr>
      </w:pPr>
      <w:r w:rsidRPr="0029564F">
        <w:rPr>
          <w:rFonts w:ascii="Calibri" w:eastAsia="Calibri" w:hAnsi="Calibri" w:cs="Times New Roman"/>
          <w:lang w:val="en-US"/>
        </w:rPr>
        <w:t>68 thousand Mitigation T</w:t>
      </w:r>
      <w:r w:rsidR="00C344C4" w:rsidRPr="0029564F">
        <w:rPr>
          <w:rFonts w:ascii="Calibri" w:eastAsia="Calibri" w:hAnsi="Calibri" w:cs="Times New Roman"/>
          <w:lang w:val="en-US"/>
        </w:rPr>
        <w:t xml:space="preserve">okens </w:t>
      </w:r>
      <w:proofErr w:type="gramStart"/>
      <w:r w:rsidR="00C344C4" w:rsidRPr="0029564F">
        <w:rPr>
          <w:rFonts w:ascii="Calibri" w:eastAsia="Calibri" w:hAnsi="Calibri" w:cs="Times New Roman"/>
          <w:lang w:val="en-US"/>
        </w:rPr>
        <w:t>have been issued</w:t>
      </w:r>
      <w:proofErr w:type="gramEnd"/>
      <w:r w:rsidR="00C344C4" w:rsidRPr="0029564F">
        <w:rPr>
          <w:rFonts w:ascii="Calibri" w:eastAsia="Calibri" w:hAnsi="Calibri" w:cs="Times New Roman"/>
          <w:lang w:val="en-US"/>
        </w:rPr>
        <w:t xml:space="preserve"> by the crowd-funding contract at the presale stage in September-October 2017, 42,000 MITO have been distributed to DAO IPCI advisors as 2017 annual remuneration, and the rest 8,958,000 MITO are held at the Congress contract of the Founders. No further emission of the same token is technically possible, as the ownership has been transferred to the </w:t>
      </w:r>
      <w:proofErr w:type="gramStart"/>
      <w:r w:rsidR="00C344C4" w:rsidRPr="0029564F">
        <w:rPr>
          <w:rFonts w:ascii="Calibri" w:eastAsia="Calibri" w:hAnsi="Calibri" w:cs="Times New Roman"/>
          <w:lang w:val="en-US"/>
        </w:rPr>
        <w:t>crowd funding</w:t>
      </w:r>
      <w:proofErr w:type="gramEnd"/>
      <w:r w:rsidR="00C344C4" w:rsidRPr="0029564F">
        <w:rPr>
          <w:rFonts w:ascii="Calibri" w:eastAsia="Calibri" w:hAnsi="Calibri" w:cs="Times New Roman"/>
          <w:lang w:val="en-US"/>
        </w:rPr>
        <w:t xml:space="preserve"> contract, which has expired on October 30, 2017. </w:t>
      </w:r>
    </w:p>
    <w:p w14:paraId="33D1FD7D" w14:textId="77777777" w:rsidR="00C11BDE" w:rsidRDefault="00C344C4" w:rsidP="00C344C4">
      <w:pPr>
        <w:spacing w:line="256" w:lineRule="auto"/>
        <w:jc w:val="both"/>
        <w:rPr>
          <w:rFonts w:ascii="Calibri" w:eastAsia="Calibri" w:hAnsi="Calibri" w:cs="Times New Roman"/>
          <w:lang w:val="en-US"/>
        </w:rPr>
      </w:pPr>
      <w:r w:rsidRPr="00274397">
        <w:rPr>
          <w:rFonts w:ascii="Calibri" w:eastAsia="Calibri" w:hAnsi="Calibri" w:cs="Times New Roman"/>
          <w:lang w:val="en-US"/>
        </w:rPr>
        <w:t xml:space="preserve">Furthermore, mitigation compliance units like carbon emission quotas and credits, other emission or effluent credits, renewable energy certificates, and even quantified social benefits (‘environmental units’) are regulated by wide variety of programs, and in principle, nothing can prevent jurisdictions, entities, businesses,  NGOs or individuals from launching new and independent result-based mitigation programs in DAO IPCI. Existing and newly launched programs may create ‘sovereign’ representations in DAO IPCI in the form of autonomies (DAOs). These ‘representations’ are encouraged to adhere to MITO as a market currency to ensure integrity and value of DAO IPCI network while maintaining decentralized nature of the </w:t>
      </w:r>
      <w:r w:rsidR="00C11BDE">
        <w:rPr>
          <w:rFonts w:ascii="Calibri" w:eastAsia="Calibri" w:hAnsi="Calibri" w:cs="Times New Roman"/>
          <w:lang w:val="en-US"/>
        </w:rPr>
        <w:t xml:space="preserve">blockchain </w:t>
      </w:r>
      <w:r w:rsidRPr="00274397">
        <w:rPr>
          <w:rFonts w:ascii="Calibri" w:eastAsia="Calibri" w:hAnsi="Calibri" w:cs="Times New Roman"/>
          <w:lang w:val="en-US"/>
        </w:rPr>
        <w:t>ecosystem.</w:t>
      </w:r>
    </w:p>
    <w:p w14:paraId="3E0BEE7E" w14:textId="1EA14295" w:rsidR="00C344C4" w:rsidRPr="00274397" w:rsidRDefault="00C11BDE" w:rsidP="00C344C4">
      <w:pPr>
        <w:spacing w:line="256" w:lineRule="auto"/>
        <w:jc w:val="both"/>
        <w:rPr>
          <w:rFonts w:ascii="Calibri" w:eastAsia="Calibri" w:hAnsi="Calibri" w:cs="Times New Roman"/>
          <w:lang w:val="en-US"/>
        </w:rPr>
      </w:pPr>
      <w:r>
        <w:rPr>
          <w:rFonts w:ascii="Calibri" w:eastAsia="Calibri" w:hAnsi="Calibri" w:cs="Times New Roman"/>
          <w:lang w:val="en-US"/>
        </w:rPr>
        <w:t>O</w:t>
      </w:r>
      <w:r w:rsidR="00C344C4">
        <w:rPr>
          <w:rFonts w:ascii="Calibri" w:eastAsia="Calibri" w:hAnsi="Calibri" w:cs="Times New Roman"/>
          <w:lang w:val="en-US"/>
        </w:rPr>
        <w:t>nly unregulated voluntary carbon credits are actually available at DAO IPCI for the moment and the perspective of having regulated carbon compliance units represented as tokens in DAO IPCI is still uncertain.</w:t>
      </w:r>
    </w:p>
    <w:p w14:paraId="6AC93535" w14:textId="77777777" w:rsidR="00C344C4" w:rsidRPr="00274397" w:rsidRDefault="00C344C4" w:rsidP="00C344C4">
      <w:pPr>
        <w:spacing w:line="256" w:lineRule="auto"/>
        <w:jc w:val="both"/>
        <w:rPr>
          <w:rFonts w:ascii="Calibri" w:eastAsia="Calibri" w:hAnsi="Calibri" w:cs="Times New Roman"/>
          <w:lang w:val="en-US"/>
        </w:rPr>
      </w:pPr>
      <w:r>
        <w:rPr>
          <w:rFonts w:ascii="Calibri" w:eastAsia="Calibri" w:hAnsi="Calibri" w:cs="Times New Roman"/>
          <w:lang w:val="en-US"/>
        </w:rPr>
        <w:t xml:space="preserve">Mitigation Token </w:t>
      </w:r>
      <w:r w:rsidRPr="00274397">
        <w:rPr>
          <w:rFonts w:ascii="Calibri" w:eastAsia="Calibri" w:hAnsi="Calibri" w:cs="Times New Roman"/>
          <w:lang w:val="en-US"/>
        </w:rPr>
        <w:t>is the key element to provide for transactions’ efficiency and integrity of DAO IPCI ecosystem.</w:t>
      </w:r>
    </w:p>
    <w:p w14:paraId="440B1F80" w14:textId="7E67452A" w:rsidR="00C344C4" w:rsidRPr="0029564F" w:rsidRDefault="00C344C4" w:rsidP="00C344C4">
      <w:pPr>
        <w:spacing w:line="256" w:lineRule="auto"/>
        <w:jc w:val="both"/>
        <w:rPr>
          <w:rFonts w:ascii="Calibri" w:eastAsia="Calibri" w:hAnsi="Calibri" w:cs="Times New Roman"/>
          <w:lang w:val="en-US"/>
        </w:rPr>
      </w:pPr>
      <w:r w:rsidRPr="0029564F">
        <w:rPr>
          <w:rFonts w:ascii="Calibri" w:eastAsia="Calibri" w:hAnsi="Calibri" w:cs="Times New Roman"/>
          <w:lang w:val="en-US"/>
        </w:rPr>
        <w:t xml:space="preserve">Mitigation Token purpose is to provide MITO market exchange operations with environmental units issued to the environmental units’ registries by independent entities under the rules and supervision of </w:t>
      </w:r>
      <w:r w:rsidR="00C11BDE" w:rsidRPr="0029564F">
        <w:rPr>
          <w:rFonts w:ascii="Calibri" w:eastAsia="Calibri" w:hAnsi="Calibri" w:cs="Times New Roman"/>
          <w:lang w:val="en-US"/>
        </w:rPr>
        <w:t xml:space="preserve">mitigation programs’ </w:t>
      </w:r>
      <w:r w:rsidRPr="0029564F">
        <w:rPr>
          <w:rFonts w:ascii="Calibri" w:eastAsia="Calibri" w:hAnsi="Calibri" w:cs="Times New Roman"/>
          <w:lang w:val="en-US"/>
        </w:rPr>
        <w:t xml:space="preserve">operators. </w:t>
      </w:r>
    </w:p>
    <w:p w14:paraId="79C4450B" w14:textId="6EF23E43" w:rsidR="00C344C4" w:rsidRPr="0029564F" w:rsidRDefault="00C344C4" w:rsidP="00C344C4">
      <w:pPr>
        <w:spacing w:line="256" w:lineRule="auto"/>
        <w:jc w:val="both"/>
        <w:rPr>
          <w:rFonts w:ascii="Calibri" w:eastAsia="Calibri" w:hAnsi="Calibri" w:cs="Times New Roman"/>
          <w:lang w:val="en-US"/>
        </w:rPr>
      </w:pPr>
      <w:r w:rsidRPr="0029564F">
        <w:rPr>
          <w:rFonts w:ascii="Calibri" w:eastAsia="Calibri" w:hAnsi="Calibri" w:cs="Times New Roman"/>
          <w:lang w:val="en-US"/>
        </w:rPr>
        <w:t xml:space="preserve">MITO is inherently appropriate and designed for executing MITO Market smart contracts, </w:t>
      </w:r>
      <w:proofErr w:type="gramStart"/>
      <w:r w:rsidRPr="0029564F">
        <w:rPr>
          <w:rFonts w:ascii="Calibri" w:eastAsia="Calibri" w:hAnsi="Calibri" w:cs="Times New Roman"/>
          <w:lang w:val="en-US"/>
        </w:rPr>
        <w:t>including:</w:t>
      </w:r>
      <w:proofErr w:type="gramEnd"/>
      <w:r w:rsidRPr="0029564F">
        <w:rPr>
          <w:rFonts w:ascii="Calibri" w:eastAsia="Calibri" w:hAnsi="Calibri" w:cs="Times New Roman"/>
          <w:lang w:val="en-US"/>
        </w:rPr>
        <w:t xml:space="preserve"> environmental units’ buying and selling orders, payment of MITO market commission fee. MITO also serves as a</w:t>
      </w:r>
      <w:r w:rsidR="00C33880" w:rsidRPr="0029564F">
        <w:rPr>
          <w:rFonts w:ascii="Calibri" w:eastAsia="Calibri" w:hAnsi="Calibri" w:cs="Times New Roman"/>
          <w:lang w:val="en-US"/>
        </w:rPr>
        <w:t xml:space="preserve"> collateral under Security Deposit C</w:t>
      </w:r>
      <w:r w:rsidRPr="0029564F">
        <w:rPr>
          <w:rFonts w:ascii="Calibri" w:eastAsia="Calibri" w:hAnsi="Calibri" w:cs="Times New Roman"/>
          <w:lang w:val="en-US"/>
        </w:rPr>
        <w:t>ontract.</w:t>
      </w:r>
    </w:p>
    <w:p w14:paraId="7999A523" w14:textId="1AB005E9" w:rsidR="00C344C4" w:rsidRPr="00274397" w:rsidRDefault="00C344C4" w:rsidP="00C344C4">
      <w:pPr>
        <w:spacing w:line="256" w:lineRule="auto"/>
        <w:jc w:val="both"/>
        <w:rPr>
          <w:rFonts w:ascii="Calibri" w:eastAsia="Calibri" w:hAnsi="Calibri" w:cs="Times New Roman"/>
          <w:lang w:val="en-US"/>
        </w:rPr>
      </w:pPr>
      <w:r w:rsidRPr="00274397">
        <w:rPr>
          <w:rFonts w:ascii="Calibri" w:eastAsia="Calibri" w:hAnsi="Calibri" w:cs="Times New Roman"/>
          <w:lang w:val="en-US"/>
        </w:rPr>
        <w:t xml:space="preserve">Genesis Operator and the Founders (see: ipci.io/team) </w:t>
      </w:r>
      <w:r>
        <w:rPr>
          <w:rFonts w:ascii="Calibri" w:eastAsia="Calibri" w:hAnsi="Calibri" w:cs="Times New Roman"/>
          <w:lang w:val="en-US"/>
        </w:rPr>
        <w:t>have performed</w:t>
      </w:r>
      <w:r w:rsidRPr="00274397">
        <w:rPr>
          <w:rFonts w:ascii="Calibri" w:eastAsia="Calibri" w:hAnsi="Calibri" w:cs="Times New Roman"/>
          <w:lang w:val="en-US"/>
        </w:rPr>
        <w:t xml:space="preserve"> initial emission of Mitigation Token  </w:t>
      </w:r>
    </w:p>
    <w:p w14:paraId="16613085" w14:textId="77777777" w:rsidR="00C344C4" w:rsidRPr="00274397" w:rsidRDefault="00C344C4" w:rsidP="00C344C4">
      <w:pPr>
        <w:numPr>
          <w:ilvl w:val="0"/>
          <w:numId w:val="25"/>
        </w:numPr>
        <w:spacing w:line="256" w:lineRule="auto"/>
        <w:contextualSpacing/>
        <w:jc w:val="both"/>
        <w:rPr>
          <w:rFonts w:ascii="Calibri" w:eastAsia="Calibri" w:hAnsi="Calibri" w:cs="Times New Roman"/>
          <w:lang w:val="en-US"/>
        </w:rPr>
      </w:pPr>
      <w:r w:rsidRPr="00274397">
        <w:rPr>
          <w:rFonts w:ascii="Calibri" w:eastAsia="Calibri" w:hAnsi="Calibri" w:cs="Times New Roman"/>
          <w:lang w:val="en-US"/>
        </w:rPr>
        <w:lastRenderedPageBreak/>
        <w:t xml:space="preserve">To distribute </w:t>
      </w:r>
      <w:r>
        <w:rPr>
          <w:rFonts w:ascii="Calibri" w:eastAsia="Calibri" w:hAnsi="Calibri" w:cs="Times New Roman"/>
          <w:lang w:val="en-US"/>
        </w:rPr>
        <w:t xml:space="preserve">MITO </w:t>
      </w:r>
      <w:r w:rsidRPr="00274397">
        <w:rPr>
          <w:rFonts w:ascii="Calibri" w:eastAsia="Calibri" w:hAnsi="Calibri" w:cs="Times New Roman"/>
          <w:lang w:val="en-US"/>
        </w:rPr>
        <w:t>token and provide for launch of MITO market,</w:t>
      </w:r>
    </w:p>
    <w:p w14:paraId="298F1B16" w14:textId="3BB9AE9D" w:rsidR="00C344C4" w:rsidRPr="00274397" w:rsidRDefault="00C344C4" w:rsidP="00C344C4">
      <w:pPr>
        <w:numPr>
          <w:ilvl w:val="0"/>
          <w:numId w:val="25"/>
        </w:numPr>
        <w:spacing w:line="256" w:lineRule="auto"/>
        <w:contextualSpacing/>
        <w:jc w:val="both"/>
        <w:rPr>
          <w:rFonts w:ascii="Calibri" w:eastAsia="Calibri" w:hAnsi="Calibri" w:cs="Times New Roman"/>
          <w:lang w:val="en-US"/>
        </w:rPr>
      </w:pPr>
      <w:r w:rsidRPr="00274397">
        <w:rPr>
          <w:rFonts w:ascii="Calibri" w:eastAsia="Calibri" w:hAnsi="Calibri" w:cs="Times New Roman"/>
          <w:lang w:val="en-US"/>
        </w:rPr>
        <w:t>To boost non-commercial research and development of socio-economic and IT protocols needed,</w:t>
      </w:r>
    </w:p>
    <w:p w14:paraId="720EDA61" w14:textId="403C4AC9" w:rsidR="00C344C4" w:rsidRPr="00274397" w:rsidRDefault="00C344C4" w:rsidP="00C344C4">
      <w:pPr>
        <w:numPr>
          <w:ilvl w:val="0"/>
          <w:numId w:val="25"/>
        </w:numPr>
        <w:spacing w:line="256" w:lineRule="auto"/>
        <w:contextualSpacing/>
        <w:jc w:val="both"/>
        <w:rPr>
          <w:rFonts w:ascii="Calibri" w:eastAsia="Calibri" w:hAnsi="Calibri" w:cs="Times New Roman"/>
          <w:lang w:val="en-US"/>
        </w:rPr>
      </w:pPr>
      <w:r w:rsidRPr="00274397">
        <w:rPr>
          <w:rFonts w:ascii="Calibri" w:eastAsia="Calibri" w:hAnsi="Calibri" w:cs="Times New Roman"/>
          <w:lang w:val="en-US"/>
        </w:rPr>
        <w:t>T</w:t>
      </w:r>
      <w:r w:rsidR="0029564F">
        <w:rPr>
          <w:rFonts w:ascii="Calibri" w:eastAsia="Calibri" w:hAnsi="Calibri" w:cs="Times New Roman"/>
          <w:lang w:val="en-US"/>
        </w:rPr>
        <w:t xml:space="preserve">o sustain and expand  DAO IPCI </w:t>
      </w:r>
      <w:r w:rsidRPr="00274397">
        <w:rPr>
          <w:rFonts w:ascii="Calibri" w:eastAsia="Calibri" w:hAnsi="Calibri" w:cs="Times New Roman"/>
          <w:lang w:val="en-US"/>
        </w:rPr>
        <w:t xml:space="preserve">ecosystem, </w:t>
      </w:r>
    </w:p>
    <w:p w14:paraId="3EDCAEB4" w14:textId="0AF73657" w:rsidR="00C344C4" w:rsidRPr="00274397" w:rsidRDefault="00C344C4" w:rsidP="00C344C4">
      <w:pPr>
        <w:numPr>
          <w:ilvl w:val="0"/>
          <w:numId w:val="25"/>
        </w:numPr>
        <w:spacing w:line="256" w:lineRule="auto"/>
        <w:contextualSpacing/>
        <w:jc w:val="both"/>
        <w:rPr>
          <w:rFonts w:ascii="Calibri" w:eastAsia="Calibri" w:hAnsi="Calibri" w:cs="Times New Roman"/>
          <w:lang w:val="en-US"/>
        </w:rPr>
      </w:pPr>
      <w:r w:rsidRPr="00274397">
        <w:rPr>
          <w:rFonts w:ascii="Calibri" w:eastAsia="Calibri" w:hAnsi="Calibri" w:cs="Times New Roman"/>
          <w:lang w:val="en-US"/>
        </w:rPr>
        <w:t xml:space="preserve">To </w:t>
      </w:r>
      <w:r w:rsidR="00D4463C">
        <w:rPr>
          <w:rFonts w:ascii="Calibri" w:eastAsia="Calibri" w:hAnsi="Calibri" w:cs="Times New Roman"/>
          <w:lang w:val="en-US"/>
        </w:rPr>
        <w:t xml:space="preserve">provide for incorporation of </w:t>
      </w:r>
      <w:r w:rsidRPr="00274397">
        <w:rPr>
          <w:rFonts w:ascii="Calibri" w:eastAsia="Calibri" w:hAnsi="Calibri" w:cs="Times New Roman"/>
          <w:lang w:val="en-US"/>
        </w:rPr>
        <w:t>legal ent</w:t>
      </w:r>
      <w:r w:rsidR="00D4463C">
        <w:rPr>
          <w:rFonts w:ascii="Calibri" w:eastAsia="Calibri" w:hAnsi="Calibri" w:cs="Times New Roman"/>
          <w:lang w:val="en-US"/>
        </w:rPr>
        <w:t>ities</w:t>
      </w:r>
      <w:r w:rsidRPr="00274397">
        <w:rPr>
          <w:rFonts w:ascii="Calibri" w:eastAsia="Calibri" w:hAnsi="Calibri" w:cs="Times New Roman"/>
          <w:lang w:val="en-US"/>
        </w:rPr>
        <w:t xml:space="preserve"> for these purposes, </w:t>
      </w:r>
    </w:p>
    <w:p w14:paraId="332705C9" w14:textId="48EC639F" w:rsidR="00C344C4" w:rsidRDefault="00C344C4" w:rsidP="00C344C4">
      <w:pPr>
        <w:numPr>
          <w:ilvl w:val="0"/>
          <w:numId w:val="25"/>
        </w:numPr>
        <w:spacing w:line="256" w:lineRule="auto"/>
        <w:contextualSpacing/>
        <w:jc w:val="both"/>
        <w:rPr>
          <w:rFonts w:ascii="Calibri" w:eastAsia="Calibri" w:hAnsi="Calibri" w:cs="Times New Roman"/>
          <w:lang w:val="en-US"/>
        </w:rPr>
      </w:pPr>
      <w:r w:rsidRPr="00274397">
        <w:rPr>
          <w:rFonts w:ascii="Calibri" w:eastAsia="Calibri" w:hAnsi="Calibri" w:cs="Times New Roman"/>
          <w:lang w:val="en-US"/>
        </w:rPr>
        <w:t>To obtain legal and other professional expertise and services needed to support implementation.</w:t>
      </w:r>
    </w:p>
    <w:p w14:paraId="6405218D" w14:textId="77777777" w:rsidR="00ED4138" w:rsidRDefault="00ED4138" w:rsidP="00C344C4">
      <w:pPr>
        <w:tabs>
          <w:tab w:val="num" w:pos="720"/>
        </w:tabs>
        <w:spacing w:line="256" w:lineRule="auto"/>
        <w:jc w:val="both"/>
        <w:rPr>
          <w:rFonts w:ascii="Calibri" w:eastAsia="Calibri" w:hAnsi="Calibri" w:cs="Times New Roman"/>
          <w:lang w:val="en-US"/>
        </w:rPr>
      </w:pPr>
    </w:p>
    <w:p w14:paraId="104738D3" w14:textId="7D5D3DA9" w:rsidR="00C344C4" w:rsidRPr="00D4463C" w:rsidRDefault="00C344C4" w:rsidP="00C344C4">
      <w:pPr>
        <w:spacing w:line="256" w:lineRule="auto"/>
        <w:jc w:val="both"/>
        <w:rPr>
          <w:rFonts w:ascii="Calibri" w:eastAsia="Calibri" w:hAnsi="Calibri" w:cs="Times New Roman"/>
          <w:lang w:val="en-US"/>
        </w:rPr>
      </w:pPr>
      <w:r w:rsidRPr="00D4463C">
        <w:rPr>
          <w:rFonts w:ascii="Calibri" w:eastAsia="Calibri" w:hAnsi="Calibri" w:cs="Times New Roman"/>
          <w:lang w:val="en-US"/>
        </w:rPr>
        <w:t xml:space="preserve">DAO IPCI allows </w:t>
      </w:r>
      <w:r w:rsidR="00D4463C">
        <w:rPr>
          <w:rFonts w:ascii="Calibri" w:eastAsia="Calibri" w:hAnsi="Calibri" w:cs="Times New Roman"/>
          <w:lang w:val="en-US"/>
        </w:rPr>
        <w:t xml:space="preserve">for </w:t>
      </w:r>
      <w:r w:rsidR="00D4463C" w:rsidRPr="00D4463C">
        <w:rPr>
          <w:rFonts w:ascii="Calibri" w:eastAsia="Calibri" w:hAnsi="Calibri" w:cs="Times New Roman"/>
          <w:lang w:val="en-US"/>
        </w:rPr>
        <w:t>creating</w:t>
      </w:r>
      <w:r w:rsidRPr="00D4463C">
        <w:rPr>
          <w:rFonts w:ascii="Calibri" w:eastAsia="Calibri" w:hAnsi="Calibri" w:cs="Times New Roman"/>
          <w:lang w:val="en-US"/>
        </w:rPr>
        <w:t xml:space="preserve"> independent markets for environmental assets, but this does not prevent the existence of a "default" market, which </w:t>
      </w:r>
      <w:proofErr w:type="gramStart"/>
      <w:r w:rsidRPr="00D4463C">
        <w:rPr>
          <w:rFonts w:ascii="Calibri" w:eastAsia="Calibri" w:hAnsi="Calibri" w:cs="Times New Roman"/>
          <w:lang w:val="en-US"/>
        </w:rPr>
        <w:t xml:space="preserve">would </w:t>
      </w:r>
      <w:r w:rsidR="00D4463C">
        <w:rPr>
          <w:rFonts w:ascii="Calibri" w:eastAsia="Calibri" w:hAnsi="Calibri" w:cs="Times New Roman"/>
          <w:lang w:val="en-US"/>
        </w:rPr>
        <w:t xml:space="preserve">be </w:t>
      </w:r>
      <w:r w:rsidRPr="00D4463C">
        <w:rPr>
          <w:rFonts w:ascii="Calibri" w:eastAsia="Calibri" w:hAnsi="Calibri" w:cs="Times New Roman"/>
          <w:lang w:val="en-US"/>
        </w:rPr>
        <w:t>use</w:t>
      </w:r>
      <w:r w:rsidR="00D4463C">
        <w:rPr>
          <w:rFonts w:ascii="Calibri" w:eastAsia="Calibri" w:hAnsi="Calibri" w:cs="Times New Roman"/>
          <w:lang w:val="en-US"/>
        </w:rPr>
        <w:t>d</w:t>
      </w:r>
      <w:proofErr w:type="gramEnd"/>
      <w:r w:rsidRPr="00D4463C">
        <w:rPr>
          <w:rFonts w:ascii="Calibri" w:eastAsia="Calibri" w:hAnsi="Calibri" w:cs="Times New Roman"/>
          <w:lang w:val="en-US"/>
        </w:rPr>
        <w:t xml:space="preserve"> as </w:t>
      </w:r>
      <w:r w:rsidR="00D4463C">
        <w:rPr>
          <w:rFonts w:ascii="Calibri" w:eastAsia="Calibri" w:hAnsi="Calibri" w:cs="Times New Roman"/>
          <w:lang w:val="en-US"/>
        </w:rPr>
        <w:t>a</w:t>
      </w:r>
      <w:r w:rsidRPr="00D4463C">
        <w:rPr>
          <w:rFonts w:ascii="Calibri" w:eastAsia="Calibri" w:hAnsi="Calibri" w:cs="Times New Roman"/>
          <w:lang w:val="en-US"/>
        </w:rPr>
        <w:t xml:space="preserve"> guinea pig, i.e. the market with the boldest ideas from the community around the project. MITO </w:t>
      </w:r>
      <w:r w:rsidR="00D4463C">
        <w:rPr>
          <w:rFonts w:ascii="Calibri" w:eastAsia="Calibri" w:hAnsi="Calibri" w:cs="Times New Roman"/>
          <w:lang w:val="en-US"/>
        </w:rPr>
        <w:t>would</w:t>
      </w:r>
      <w:r w:rsidRPr="00D4463C">
        <w:rPr>
          <w:rFonts w:ascii="Calibri" w:eastAsia="Calibri" w:hAnsi="Calibri" w:cs="Times New Roman"/>
          <w:lang w:val="en-US"/>
        </w:rPr>
        <w:t xml:space="preserve"> be the unit to which all </w:t>
      </w:r>
      <w:r w:rsidR="00D4463C">
        <w:rPr>
          <w:rFonts w:ascii="Calibri" w:eastAsia="Calibri" w:hAnsi="Calibri" w:cs="Times New Roman"/>
          <w:lang w:val="en-US"/>
        </w:rPr>
        <w:t>trades</w:t>
      </w:r>
      <w:r w:rsidRPr="00D4463C">
        <w:rPr>
          <w:rFonts w:ascii="Calibri" w:eastAsia="Calibri" w:hAnsi="Calibri" w:cs="Times New Roman"/>
          <w:lang w:val="en-US"/>
        </w:rPr>
        <w:t xml:space="preserve"> in this market take place. Thus, MITO </w:t>
      </w:r>
      <w:proofErr w:type="gramStart"/>
      <w:r w:rsidRPr="00D4463C">
        <w:rPr>
          <w:rFonts w:ascii="Calibri" w:eastAsia="Calibri" w:hAnsi="Calibri" w:cs="Times New Roman"/>
          <w:lang w:val="en-US"/>
        </w:rPr>
        <w:t>will be endowed</w:t>
      </w:r>
      <w:proofErr w:type="gramEnd"/>
      <w:r w:rsidRPr="00D4463C">
        <w:rPr>
          <w:rFonts w:ascii="Calibri" w:eastAsia="Calibri" w:hAnsi="Calibri" w:cs="Times New Roman"/>
          <w:lang w:val="en-US"/>
        </w:rPr>
        <w:t xml:space="preserve"> with value functions. The most important in this case for value will be its autonomy, i.e. we issue MITO and ensure that it is not possible to influence its characterist</w:t>
      </w:r>
      <w:r w:rsidR="00D4463C" w:rsidRPr="00D4463C">
        <w:rPr>
          <w:rFonts w:ascii="Calibri" w:eastAsia="Calibri" w:hAnsi="Calibri" w:cs="Times New Roman"/>
          <w:lang w:val="en-US"/>
        </w:rPr>
        <w:t>ics</w:t>
      </w:r>
      <w:r w:rsidRPr="00D4463C">
        <w:rPr>
          <w:rFonts w:ascii="Calibri" w:eastAsia="Calibri" w:hAnsi="Calibri" w:cs="Times New Roman"/>
          <w:lang w:val="en-US"/>
        </w:rPr>
        <w:t>. Thus, MITO would become an autonomous value.</w:t>
      </w:r>
    </w:p>
    <w:p w14:paraId="175BA81C" w14:textId="2D330E6E" w:rsidR="00C344C4" w:rsidRPr="00D4463C" w:rsidRDefault="00C344C4" w:rsidP="00C344C4">
      <w:pPr>
        <w:spacing w:line="256" w:lineRule="auto"/>
        <w:jc w:val="both"/>
        <w:rPr>
          <w:rFonts w:ascii="Calibri" w:eastAsia="Calibri" w:hAnsi="Calibri" w:cs="Times New Roman"/>
          <w:lang w:val="en-US"/>
        </w:rPr>
      </w:pPr>
      <w:r w:rsidRPr="00D4463C">
        <w:rPr>
          <w:rFonts w:ascii="Calibri" w:eastAsia="Calibri" w:hAnsi="Calibri" w:cs="Times New Roman"/>
          <w:lang w:val="en-US"/>
        </w:rPr>
        <w:t xml:space="preserve">Carbon units for </w:t>
      </w:r>
      <w:r w:rsidR="008063AE">
        <w:rPr>
          <w:rFonts w:ascii="Calibri" w:eastAsia="Calibri" w:hAnsi="Calibri" w:cs="Times New Roman"/>
          <w:lang w:val="en-US"/>
        </w:rPr>
        <w:t>the d</w:t>
      </w:r>
      <w:r w:rsidR="008063AE" w:rsidRPr="008063AE">
        <w:rPr>
          <w:rFonts w:ascii="Calibri" w:eastAsia="Calibri" w:hAnsi="Calibri" w:cs="Times New Roman"/>
          <w:lang w:val="en-US"/>
        </w:rPr>
        <w:t xml:space="preserve">evelopment of IoT network </w:t>
      </w:r>
      <w:proofErr w:type="gramStart"/>
      <w:r w:rsidRPr="00D4463C">
        <w:rPr>
          <w:rFonts w:ascii="Calibri" w:eastAsia="Calibri" w:hAnsi="Calibri" w:cs="Times New Roman"/>
          <w:lang w:val="en-US"/>
        </w:rPr>
        <w:t>must be traded</w:t>
      </w:r>
      <w:proofErr w:type="gramEnd"/>
      <w:r w:rsidRPr="00D4463C">
        <w:rPr>
          <w:rFonts w:ascii="Calibri" w:eastAsia="Calibri" w:hAnsi="Calibri" w:cs="Times New Roman"/>
          <w:lang w:val="en-US"/>
        </w:rPr>
        <w:t xml:space="preserve"> to MITO. However, sensor networks involved in the generation of carbon units can also accept MITO to provide additional services to major market participants. For example, additional data measurements.</w:t>
      </w:r>
    </w:p>
    <w:p w14:paraId="324CE927" w14:textId="21E98BA2" w:rsidR="00C344C4" w:rsidRPr="00D4463C" w:rsidRDefault="008063AE" w:rsidP="00C344C4">
      <w:pPr>
        <w:spacing w:line="256" w:lineRule="auto"/>
        <w:jc w:val="both"/>
        <w:rPr>
          <w:rFonts w:ascii="Calibri" w:eastAsia="Calibri" w:hAnsi="Calibri" w:cs="Times New Roman"/>
          <w:lang w:val="en-US"/>
        </w:rPr>
      </w:pPr>
      <w:r>
        <w:rPr>
          <w:rFonts w:ascii="Calibri" w:eastAsia="Calibri" w:hAnsi="Calibri" w:cs="Times New Roman"/>
          <w:lang w:val="en-US"/>
        </w:rPr>
        <w:t>L</w:t>
      </w:r>
      <w:r w:rsidR="00C344C4" w:rsidRPr="00D4463C">
        <w:rPr>
          <w:rFonts w:ascii="Calibri" w:eastAsia="Calibri" w:hAnsi="Calibri" w:cs="Times New Roman"/>
          <w:lang w:val="en-US"/>
        </w:rPr>
        <w:t xml:space="preserve">ooking forward to the update of the Ethereum network, in which it will be possible not to pay a commission in Ether, MITO </w:t>
      </w:r>
      <w:proofErr w:type="gramStart"/>
      <w:r w:rsidR="00C344C4" w:rsidRPr="00D4463C">
        <w:rPr>
          <w:rFonts w:ascii="Calibri" w:eastAsia="Calibri" w:hAnsi="Calibri" w:cs="Times New Roman"/>
          <w:lang w:val="en-US"/>
        </w:rPr>
        <w:t>would be used</w:t>
      </w:r>
      <w:proofErr w:type="gramEnd"/>
      <w:r w:rsidR="00C344C4" w:rsidRPr="00D4463C">
        <w:rPr>
          <w:rFonts w:ascii="Calibri" w:eastAsia="Calibri" w:hAnsi="Calibri" w:cs="Times New Roman"/>
          <w:lang w:val="en-US"/>
        </w:rPr>
        <w:t xml:space="preserve"> to pay for transactions via smart contracts that are developed and settled in Ethereum Blockchain by DAO IPCI. If we can get approval from the validators to process transactions in the common Ethereum network to our contracts without Ether fees, but only for MITO, then MITO will have a direct function of a protocol token.</w:t>
      </w:r>
    </w:p>
    <w:p w14:paraId="39138435" w14:textId="179E8A6A" w:rsidR="003F3A8D" w:rsidRPr="00D4463C" w:rsidRDefault="003F3A8D" w:rsidP="003F3A8D">
      <w:pPr>
        <w:jc w:val="both"/>
        <w:rPr>
          <w:rFonts w:ascii="Calibri" w:eastAsia="Calibri" w:hAnsi="Calibri" w:cs="Times New Roman"/>
          <w:lang w:val="en-US"/>
        </w:rPr>
      </w:pPr>
      <w:r w:rsidRPr="00D4463C">
        <w:rPr>
          <w:rFonts w:ascii="Calibri" w:eastAsia="Calibri" w:hAnsi="Calibri" w:cs="Times New Roman"/>
          <w:lang w:val="en-US"/>
        </w:rPr>
        <w:t xml:space="preserve">Other than tokens representing mitigation instruments type of token, </w:t>
      </w:r>
      <w:r w:rsidR="008063AE">
        <w:rPr>
          <w:rFonts w:ascii="Calibri" w:eastAsia="Calibri" w:hAnsi="Calibri" w:cs="Times New Roman"/>
          <w:lang w:val="en-US"/>
        </w:rPr>
        <w:t xml:space="preserve">MITO </w:t>
      </w:r>
      <w:r w:rsidRPr="00D4463C">
        <w:rPr>
          <w:rFonts w:ascii="Calibri" w:eastAsia="Calibri" w:hAnsi="Calibri" w:cs="Times New Roman"/>
          <w:lang w:val="en-US"/>
        </w:rPr>
        <w:t>represents an internal currency for internal markets of independent programs, essentially a payment/utility token. Operators of independent programs, DAOs, may issue this type of tokens arbitrarily.</w:t>
      </w:r>
    </w:p>
    <w:p w14:paraId="12CE798B" w14:textId="77777777" w:rsidR="003F3A8D" w:rsidRPr="003F3A8D" w:rsidRDefault="003F3A8D" w:rsidP="008229B2">
      <w:pPr>
        <w:jc w:val="both"/>
        <w:rPr>
          <w:rFonts w:ascii="Calibri" w:eastAsia="Calibri" w:hAnsi="Calibri" w:cs="Times New Roman"/>
          <w:lang w:val="en-US"/>
        </w:rPr>
      </w:pPr>
      <w:r w:rsidRPr="003F3A8D">
        <w:rPr>
          <w:rFonts w:ascii="Calibri" w:eastAsia="Calibri" w:hAnsi="Calibri" w:cs="Times New Roman"/>
          <w:lang w:val="en-US"/>
        </w:rPr>
        <w:t xml:space="preserve">There is a dominant economic idea that the supply and demand and turnover determine the value of the market and are to </w:t>
      </w:r>
      <w:proofErr w:type="gramStart"/>
      <w:r w:rsidRPr="003F3A8D">
        <w:rPr>
          <w:rFonts w:ascii="Calibri" w:eastAsia="Calibri" w:hAnsi="Calibri" w:cs="Times New Roman"/>
          <w:lang w:val="en-US"/>
        </w:rPr>
        <w:t>be used</w:t>
      </w:r>
      <w:proofErr w:type="gramEnd"/>
      <w:r w:rsidRPr="003F3A8D">
        <w:rPr>
          <w:rFonts w:ascii="Calibri" w:eastAsia="Calibri" w:hAnsi="Calibri" w:cs="Times New Roman"/>
          <w:lang w:val="en-US"/>
        </w:rPr>
        <w:t xml:space="preserve"> to determine the amount of the emission needed. However, the fundamental parameter still is the market demand for the token, whether it </w:t>
      </w:r>
      <w:proofErr w:type="gramStart"/>
      <w:r w:rsidRPr="003F3A8D">
        <w:rPr>
          <w:rFonts w:ascii="Calibri" w:eastAsia="Calibri" w:hAnsi="Calibri" w:cs="Times New Roman"/>
          <w:lang w:val="en-US"/>
        </w:rPr>
        <w:t>is used</w:t>
      </w:r>
      <w:proofErr w:type="gramEnd"/>
      <w:r w:rsidRPr="003F3A8D">
        <w:rPr>
          <w:rFonts w:ascii="Calibri" w:eastAsia="Calibri" w:hAnsi="Calibri" w:cs="Times New Roman"/>
          <w:lang w:val="en-US"/>
        </w:rPr>
        <w:t xml:space="preserve"> to exchange for goods (mitigation instruments) available at the market, or to store value on the balance. </w:t>
      </w:r>
    </w:p>
    <w:p w14:paraId="16199554" w14:textId="7199629E" w:rsidR="003F3A8D" w:rsidRPr="003F3A8D" w:rsidRDefault="003F3A8D" w:rsidP="003F3A8D">
      <w:pPr>
        <w:jc w:val="both"/>
        <w:rPr>
          <w:rFonts w:ascii="Calibri" w:eastAsia="Calibri" w:hAnsi="Calibri" w:cs="Times New Roman"/>
          <w:lang w:val="en-US"/>
        </w:rPr>
      </w:pPr>
      <w:proofErr w:type="gramStart"/>
      <w:r w:rsidRPr="003F3A8D">
        <w:rPr>
          <w:rFonts w:ascii="Calibri" w:eastAsia="Calibri" w:hAnsi="Calibri" w:cs="Times New Roman"/>
          <w:lang w:val="en-US"/>
        </w:rPr>
        <w:t>Current Mitigation Token has been issued by the Genesis Program Operator</w:t>
      </w:r>
      <w:proofErr w:type="gramEnd"/>
      <w:r w:rsidRPr="003F3A8D">
        <w:rPr>
          <w:rFonts w:ascii="Calibri" w:eastAsia="Calibri" w:hAnsi="Calibri" w:cs="Times New Roman"/>
          <w:lang w:val="en-US"/>
        </w:rPr>
        <w:t>, and further emission based on the demand for the token is technically impossible. Under the circumstances, it would be reasonable to design and execute the issuance and distribution of “MITO 2.0”</w:t>
      </w:r>
      <w:r w:rsidR="008229B2">
        <w:rPr>
          <w:rFonts w:ascii="Calibri" w:eastAsia="Calibri" w:hAnsi="Calibri" w:cs="Times New Roman"/>
          <w:lang w:val="en-US"/>
        </w:rPr>
        <w:t xml:space="preserve"> token</w:t>
      </w:r>
      <w:r w:rsidRPr="003F3A8D">
        <w:rPr>
          <w:rFonts w:ascii="Calibri" w:eastAsia="Calibri" w:hAnsi="Calibri" w:cs="Times New Roman"/>
          <w:lang w:val="en-US"/>
        </w:rPr>
        <w:t xml:space="preserve">. </w:t>
      </w:r>
      <w:proofErr w:type="gramStart"/>
      <w:r w:rsidRPr="003F3A8D">
        <w:rPr>
          <w:rFonts w:ascii="Calibri" w:eastAsia="Calibri" w:hAnsi="Calibri" w:cs="Times New Roman"/>
          <w:lang w:val="en-US"/>
        </w:rPr>
        <w:t>It should be performed by “the Pool of DAOs”</w:t>
      </w:r>
      <w:proofErr w:type="gramEnd"/>
      <w:r w:rsidRPr="003F3A8D">
        <w:rPr>
          <w:rFonts w:ascii="Calibri" w:eastAsia="Calibri" w:hAnsi="Calibri" w:cs="Times New Roman"/>
          <w:lang w:val="en-US"/>
        </w:rPr>
        <w:t xml:space="preserve">. MITO 1.0 should be exchanged to MITO 2.0 at the rate of 1:2 to fulfil </w:t>
      </w:r>
      <w:r w:rsidR="008229B2">
        <w:rPr>
          <w:rFonts w:ascii="Calibri" w:eastAsia="Calibri" w:hAnsi="Calibri" w:cs="Times New Roman"/>
          <w:lang w:val="en-US"/>
        </w:rPr>
        <w:t>the</w:t>
      </w:r>
      <w:r w:rsidRPr="003F3A8D">
        <w:rPr>
          <w:rFonts w:ascii="Calibri" w:eastAsia="Calibri" w:hAnsi="Calibri" w:cs="Times New Roman"/>
          <w:lang w:val="en-US"/>
        </w:rPr>
        <w:t xml:space="preserve"> commitments to </w:t>
      </w:r>
      <w:r w:rsidR="008229B2">
        <w:rPr>
          <w:rFonts w:ascii="Calibri" w:eastAsia="Calibri" w:hAnsi="Calibri" w:cs="Times New Roman"/>
          <w:lang w:val="en-US"/>
        </w:rPr>
        <w:t xml:space="preserve">MITO 1.0 </w:t>
      </w:r>
      <w:r w:rsidRPr="003F3A8D">
        <w:rPr>
          <w:rFonts w:ascii="Calibri" w:eastAsia="Calibri" w:hAnsi="Calibri" w:cs="Times New Roman"/>
          <w:lang w:val="en-US"/>
        </w:rPr>
        <w:t xml:space="preserve">presale </w:t>
      </w:r>
      <w:r w:rsidR="008229B2">
        <w:rPr>
          <w:rFonts w:ascii="Calibri" w:eastAsia="Calibri" w:hAnsi="Calibri" w:cs="Times New Roman"/>
          <w:lang w:val="en-US"/>
        </w:rPr>
        <w:t>B</w:t>
      </w:r>
      <w:r w:rsidRPr="003F3A8D">
        <w:rPr>
          <w:rFonts w:ascii="Calibri" w:eastAsia="Calibri" w:hAnsi="Calibri" w:cs="Times New Roman"/>
          <w:lang w:val="en-US"/>
        </w:rPr>
        <w:t>uyers.</w:t>
      </w:r>
      <w:r w:rsidRPr="003F3A8D">
        <w:rPr>
          <w:lang w:val="en-US"/>
        </w:rPr>
        <w:t xml:space="preserve"> </w:t>
      </w:r>
      <w:r w:rsidRPr="003F3A8D">
        <w:rPr>
          <w:rFonts w:ascii="Calibri" w:eastAsia="Calibri" w:hAnsi="Calibri" w:cs="Times New Roman"/>
          <w:lang w:val="en-US"/>
        </w:rPr>
        <w:t xml:space="preserve">To ensure the exchange “Alembic” or “Distillation” smart contract should work long enough to preserve </w:t>
      </w:r>
      <w:r w:rsidR="008229B2">
        <w:rPr>
          <w:rFonts w:ascii="Calibri" w:eastAsia="Calibri" w:hAnsi="Calibri" w:cs="Times New Roman"/>
          <w:lang w:val="en-US"/>
        </w:rPr>
        <w:t>the rights of MITO 1.0 presale B</w:t>
      </w:r>
      <w:r w:rsidRPr="003F3A8D">
        <w:rPr>
          <w:rFonts w:ascii="Calibri" w:eastAsia="Calibri" w:hAnsi="Calibri" w:cs="Times New Roman"/>
          <w:lang w:val="en-US"/>
        </w:rPr>
        <w:t>uyers.</w:t>
      </w:r>
    </w:p>
    <w:p w14:paraId="6E826418" w14:textId="758AF516" w:rsidR="003F3A8D" w:rsidRPr="003F3A8D" w:rsidRDefault="003F3A8D" w:rsidP="003F3A8D">
      <w:pPr>
        <w:jc w:val="both"/>
        <w:rPr>
          <w:rFonts w:ascii="Calibri" w:eastAsia="Calibri" w:hAnsi="Calibri" w:cs="Times New Roman"/>
          <w:lang w:val="en-US"/>
        </w:rPr>
      </w:pPr>
      <w:r w:rsidRPr="003F3A8D">
        <w:rPr>
          <w:rFonts w:ascii="Calibri" w:eastAsia="Calibri" w:hAnsi="Calibri" w:cs="Times New Roman"/>
          <w:lang w:val="en-US"/>
        </w:rPr>
        <w:t xml:space="preserve">Number of MITO 2.0 decimals </w:t>
      </w:r>
      <w:proofErr w:type="gramStart"/>
      <w:r w:rsidRPr="003F3A8D">
        <w:rPr>
          <w:rFonts w:ascii="Calibri" w:eastAsia="Calibri" w:hAnsi="Calibri" w:cs="Times New Roman"/>
          <w:lang w:val="en-US"/>
        </w:rPr>
        <w:t>should be increased</w:t>
      </w:r>
      <w:proofErr w:type="gramEnd"/>
      <w:r w:rsidRPr="003F3A8D">
        <w:rPr>
          <w:rFonts w:ascii="Calibri" w:eastAsia="Calibri" w:hAnsi="Calibri" w:cs="Times New Roman"/>
          <w:lang w:val="en-US"/>
        </w:rPr>
        <w:t xml:space="preserve"> to the level sufficient to support future hypothetical transaction fees, i.e. to the order of Ether decimals, and an emission mechanism designed. The ultimate target of the emission model is to provide for the growth of value of MITO Market and of MITO.</w:t>
      </w:r>
    </w:p>
    <w:p w14:paraId="1B46EFD9" w14:textId="063DB49C" w:rsidR="003F3A8D" w:rsidRPr="003F3A8D" w:rsidRDefault="003F3A8D" w:rsidP="003F3A8D">
      <w:pPr>
        <w:jc w:val="both"/>
        <w:rPr>
          <w:rFonts w:ascii="Calibri" w:eastAsia="Calibri" w:hAnsi="Calibri" w:cs="Times New Roman"/>
          <w:lang w:val="en-US"/>
        </w:rPr>
      </w:pPr>
      <w:r w:rsidRPr="003F3A8D">
        <w:rPr>
          <w:rFonts w:ascii="Calibri" w:eastAsia="Calibri" w:hAnsi="Calibri" w:cs="Times New Roman"/>
          <w:lang w:val="en-US"/>
        </w:rPr>
        <w:t xml:space="preserve">There should not be a monopolist, </w:t>
      </w:r>
      <w:r w:rsidR="008229B2">
        <w:rPr>
          <w:rFonts w:ascii="Calibri" w:eastAsia="Calibri" w:hAnsi="Calibri" w:cs="Times New Roman"/>
          <w:lang w:val="en-US"/>
        </w:rPr>
        <w:t>or a</w:t>
      </w:r>
      <w:r w:rsidRPr="003F3A8D">
        <w:rPr>
          <w:rFonts w:ascii="Calibri" w:eastAsia="Calibri" w:hAnsi="Calibri" w:cs="Times New Roman"/>
          <w:lang w:val="en-US"/>
        </w:rPr>
        <w:t xml:space="preserve"> predesigned market maker. </w:t>
      </w:r>
    </w:p>
    <w:p w14:paraId="0B6C0684" w14:textId="0D354DD5" w:rsidR="003F3A8D" w:rsidRPr="003F3A8D" w:rsidRDefault="003F3A8D" w:rsidP="003F3A8D">
      <w:pPr>
        <w:jc w:val="both"/>
        <w:rPr>
          <w:rFonts w:ascii="Calibri" w:eastAsia="Calibri" w:hAnsi="Calibri" w:cs="Times New Roman"/>
          <w:lang w:val="en-US"/>
        </w:rPr>
      </w:pPr>
      <w:r w:rsidRPr="003F3A8D">
        <w:rPr>
          <w:rFonts w:ascii="Calibri" w:eastAsia="Calibri" w:hAnsi="Calibri" w:cs="Times New Roman"/>
          <w:lang w:val="en-US"/>
        </w:rPr>
        <w:t xml:space="preserve">The main question for MITO 2.0 is whether </w:t>
      </w:r>
      <w:r w:rsidR="008229B2">
        <w:rPr>
          <w:rFonts w:ascii="Calibri" w:eastAsia="Calibri" w:hAnsi="Calibri" w:cs="Times New Roman"/>
          <w:lang w:val="en-US"/>
        </w:rPr>
        <w:t>to</w:t>
      </w:r>
      <w:r w:rsidRPr="003F3A8D">
        <w:rPr>
          <w:rFonts w:ascii="Calibri" w:eastAsia="Calibri" w:hAnsi="Calibri" w:cs="Times New Roman"/>
          <w:lang w:val="en-US"/>
        </w:rPr>
        <w:t xml:space="preserve"> issue fixed amount or design a token emission contract. </w:t>
      </w:r>
    </w:p>
    <w:p w14:paraId="4A42AFA6" w14:textId="77777777" w:rsidR="003F3A8D" w:rsidRPr="003F3A8D" w:rsidRDefault="003F3A8D" w:rsidP="003F3A8D">
      <w:pPr>
        <w:jc w:val="both"/>
        <w:rPr>
          <w:rFonts w:ascii="Calibri" w:eastAsia="Calibri" w:hAnsi="Calibri" w:cs="Times New Roman"/>
          <w:lang w:val="en-US"/>
        </w:rPr>
      </w:pPr>
      <w:r w:rsidRPr="003F3A8D">
        <w:rPr>
          <w:rFonts w:ascii="Calibri" w:eastAsia="Calibri" w:hAnsi="Calibri" w:cs="Times New Roman"/>
          <w:lang w:val="en-US"/>
        </w:rPr>
        <w:t xml:space="preserve">The following scheme </w:t>
      </w:r>
      <w:proofErr w:type="gramStart"/>
      <w:r w:rsidRPr="003F3A8D">
        <w:rPr>
          <w:rFonts w:ascii="Calibri" w:eastAsia="Calibri" w:hAnsi="Calibri" w:cs="Times New Roman"/>
          <w:lang w:val="en-US"/>
        </w:rPr>
        <w:t>is proposed</w:t>
      </w:r>
      <w:proofErr w:type="gramEnd"/>
      <w:r w:rsidRPr="003F3A8D">
        <w:rPr>
          <w:rFonts w:ascii="Calibri" w:eastAsia="Calibri" w:hAnsi="Calibri" w:cs="Times New Roman"/>
          <w:lang w:val="en-US"/>
        </w:rPr>
        <w:t xml:space="preserve"> for discussion.</w:t>
      </w:r>
    </w:p>
    <w:p w14:paraId="7B5947E5" w14:textId="31C425A0" w:rsidR="003F3A8D" w:rsidRPr="00C11BDE" w:rsidRDefault="003F3A8D" w:rsidP="003F3A8D">
      <w:pPr>
        <w:rPr>
          <w:rFonts w:ascii="Calibri" w:eastAsia="Calibri" w:hAnsi="Calibri" w:cs="Times New Roman"/>
          <w:lang w:val="en-US"/>
        </w:rPr>
      </w:pPr>
      <w:r w:rsidRPr="00C11BDE">
        <w:rPr>
          <w:rFonts w:ascii="Calibri" w:eastAsia="Calibri" w:hAnsi="Calibri" w:cs="Times New Roman"/>
          <w:b/>
          <w:i/>
          <w:lang w:val="en-US"/>
        </w:rPr>
        <w:lastRenderedPageBreak/>
        <w:t xml:space="preserve">Figure </w:t>
      </w:r>
      <w:r>
        <w:rPr>
          <w:rFonts w:ascii="Calibri" w:eastAsia="Calibri" w:hAnsi="Calibri" w:cs="Times New Roman"/>
          <w:b/>
          <w:i/>
          <w:lang w:val="en-US"/>
        </w:rPr>
        <w:t>1</w:t>
      </w:r>
      <w:r w:rsidR="00AB0968">
        <w:rPr>
          <w:rFonts w:ascii="Calibri" w:eastAsia="Calibri" w:hAnsi="Calibri" w:cs="Times New Roman"/>
          <w:b/>
          <w:i/>
          <w:lang w:val="en-US"/>
        </w:rPr>
        <w:t>4</w:t>
      </w:r>
      <w:bookmarkStart w:id="9" w:name="_GoBack"/>
      <w:bookmarkEnd w:id="9"/>
      <w:r w:rsidRPr="00C11BDE">
        <w:rPr>
          <w:rFonts w:ascii="Calibri" w:eastAsia="Calibri" w:hAnsi="Calibri" w:cs="Times New Roman"/>
          <w:b/>
          <w:i/>
          <w:lang w:val="en-US"/>
        </w:rPr>
        <w:t xml:space="preserve"> – Emission of MITO 2.0</w:t>
      </w:r>
      <w:r w:rsidR="006779D6">
        <w:rPr>
          <w:rFonts w:ascii="Calibri" w:eastAsia="Calibri" w:hAnsi="Calibri" w:cs="Times New Roman"/>
          <w:b/>
          <w:i/>
          <w:noProof/>
          <w:lang w:val="en-US"/>
        </w:rPr>
        <w:drawing>
          <wp:inline distT="0" distB="0" distL="0" distR="0" wp14:anchorId="2145C855" wp14:editId="4F91753F">
            <wp:extent cx="5919470" cy="5194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3463" cy="5197804"/>
                    </a:xfrm>
                    <a:prstGeom prst="rect">
                      <a:avLst/>
                    </a:prstGeom>
                    <a:noFill/>
                  </pic:spPr>
                </pic:pic>
              </a:graphicData>
            </a:graphic>
          </wp:inline>
        </w:drawing>
      </w:r>
    </w:p>
    <w:p w14:paraId="2B281F2B" w14:textId="77777777" w:rsidR="003F3A8D" w:rsidRPr="003F3A8D" w:rsidRDefault="003F3A8D" w:rsidP="008229B2">
      <w:pPr>
        <w:jc w:val="both"/>
        <w:rPr>
          <w:rFonts w:ascii="Calibri" w:eastAsia="Calibri" w:hAnsi="Calibri" w:cs="Times New Roman"/>
          <w:lang w:val="en-US"/>
        </w:rPr>
      </w:pPr>
      <w:r w:rsidRPr="003F3A8D">
        <w:rPr>
          <w:rFonts w:ascii="Calibri" w:eastAsia="Calibri" w:hAnsi="Calibri" w:cs="Times New Roman"/>
          <w:lang w:val="en-US"/>
        </w:rPr>
        <w:t xml:space="preserve">As newly issued tokens yield proceeds to the possession of existing token holders interested in the value of the market and the token, there would be an incentive to increase the value of the market and the demand for the token and no incentive to falsify trades in order to increase emission. </w:t>
      </w:r>
    </w:p>
    <w:p w14:paraId="21F6314D" w14:textId="0A9168AF" w:rsidR="006740F6" w:rsidRDefault="003F3A8D" w:rsidP="0029564F">
      <w:pPr>
        <w:jc w:val="both"/>
        <w:rPr>
          <w:rFonts w:eastAsiaTheme="minorEastAsia"/>
          <w:color w:val="5A5A5A" w:themeColor="text1" w:themeTint="A5"/>
          <w:spacing w:val="15"/>
          <w:lang w:val="en-US"/>
        </w:rPr>
      </w:pPr>
      <w:r w:rsidRPr="003F3A8D">
        <w:rPr>
          <w:rFonts w:ascii="Calibri" w:eastAsia="Calibri" w:hAnsi="Calibri" w:cs="Times New Roman"/>
          <w:lang w:val="en-US"/>
        </w:rPr>
        <w:t>Most of the elements to implement the model in principle are in place in DAO IPCI. Yet, some of them are still under development, what is far more important the concept in general still needs comprehension by the “climate” and “blockchain” communities. The concept that there is no governance or central authority, which prescribes solutions, restricts or allows action, is still making its way even in public blockchain projects.</w:t>
      </w:r>
      <w:r w:rsidR="006740F6">
        <w:rPr>
          <w:lang w:val="en-US"/>
        </w:rPr>
        <w:br w:type="page"/>
      </w:r>
    </w:p>
    <w:p w14:paraId="7CCE1430" w14:textId="77777777" w:rsidR="004A5224" w:rsidRPr="00B73CB5" w:rsidRDefault="004A5224" w:rsidP="004715EE">
      <w:pPr>
        <w:pStyle w:val="1"/>
        <w:rPr>
          <w:lang w:val="en-US"/>
        </w:rPr>
      </w:pPr>
      <w:bookmarkStart w:id="10" w:name="_Toc515607018"/>
      <w:r>
        <w:rPr>
          <w:lang w:val="en-US"/>
        </w:rPr>
        <w:lastRenderedPageBreak/>
        <w:t>Prospects</w:t>
      </w:r>
      <w:r w:rsidR="007B4E73">
        <w:rPr>
          <w:lang w:val="en-US"/>
        </w:rPr>
        <w:t xml:space="preserve"> and plans</w:t>
      </w:r>
      <w:r w:rsidRPr="00B73CB5">
        <w:rPr>
          <w:lang w:val="en-US"/>
        </w:rPr>
        <w:t xml:space="preserve"> </w:t>
      </w:r>
      <w:r>
        <w:rPr>
          <w:lang w:val="en-US"/>
        </w:rPr>
        <w:t>of</w:t>
      </w:r>
      <w:r w:rsidRPr="00B73CB5">
        <w:rPr>
          <w:lang w:val="en-US"/>
        </w:rPr>
        <w:t xml:space="preserve"> </w:t>
      </w:r>
      <w:r>
        <w:rPr>
          <w:lang w:val="en-US"/>
        </w:rPr>
        <w:t>development</w:t>
      </w:r>
      <w:bookmarkEnd w:id="10"/>
    </w:p>
    <w:p w14:paraId="08E95EA4" w14:textId="77777777" w:rsidR="00255F64" w:rsidRPr="00255F64" w:rsidRDefault="00255F64" w:rsidP="00255F64">
      <w:pPr>
        <w:spacing w:after="0" w:line="240" w:lineRule="auto"/>
        <w:jc w:val="both"/>
        <w:rPr>
          <w:rFonts w:ascii="Calibri" w:eastAsia="Calibri" w:hAnsi="Calibri" w:cs="Times New Roman"/>
          <w:lang w:val="en-US"/>
        </w:rPr>
      </w:pPr>
      <w:r w:rsidRPr="00255F64">
        <w:rPr>
          <w:rFonts w:ascii="Calibri" w:eastAsia="Calibri" w:hAnsi="Calibri" w:cs="Times New Roman"/>
          <w:lang w:val="en-US"/>
        </w:rPr>
        <w:t xml:space="preserve">Long-term prospects of DAO IPCI development are limited only by its’ functional capacity as the trends are evidently in favor of environmental markets’ and specifically carbon markets’ expansion both in scale and number, linkage and integration with a perspective of ultimate creation of common market space with fungible instruments. DAO IPCI is a prototype of such market space and units.  </w:t>
      </w:r>
    </w:p>
    <w:p w14:paraId="7BE06DF3" w14:textId="77777777" w:rsidR="00255F64" w:rsidRPr="00255F64" w:rsidRDefault="00255F64" w:rsidP="00255F64">
      <w:pPr>
        <w:spacing w:after="0" w:line="240" w:lineRule="auto"/>
        <w:jc w:val="both"/>
        <w:rPr>
          <w:rFonts w:ascii="Calibri" w:eastAsia="Calibri" w:hAnsi="Calibri" w:cs="Times New Roman"/>
          <w:lang w:val="en-US"/>
        </w:rPr>
      </w:pPr>
    </w:p>
    <w:p w14:paraId="6BE70234" w14:textId="7D50A585" w:rsidR="00255F64" w:rsidRPr="00255F64" w:rsidRDefault="00255F64" w:rsidP="00255F64">
      <w:pPr>
        <w:spacing w:after="0" w:line="240" w:lineRule="auto"/>
        <w:jc w:val="both"/>
        <w:rPr>
          <w:rFonts w:ascii="Calibri" w:eastAsia="Calibri" w:hAnsi="Calibri" w:cs="Times New Roman"/>
          <w:lang w:val="en-US"/>
        </w:rPr>
      </w:pPr>
      <w:r w:rsidRPr="00255F64">
        <w:rPr>
          <w:rFonts w:ascii="Calibri" w:eastAsia="Calibri" w:hAnsi="Calibri" w:cs="Times New Roman"/>
          <w:lang w:val="en-US"/>
        </w:rPr>
        <w:t xml:space="preserve">While the initial objective is to provide existing markets with a ‘blockchain </w:t>
      </w:r>
      <w:r w:rsidR="0029564F">
        <w:rPr>
          <w:rFonts w:ascii="Calibri" w:eastAsia="Calibri" w:hAnsi="Calibri" w:cs="Times New Roman"/>
          <w:lang w:val="en-US"/>
        </w:rPr>
        <w:t>incarnation</w:t>
      </w:r>
      <w:r w:rsidRPr="00255F64">
        <w:rPr>
          <w:rFonts w:ascii="Calibri" w:eastAsia="Calibri" w:hAnsi="Calibri" w:cs="Times New Roman"/>
          <w:lang w:val="en-US"/>
        </w:rPr>
        <w:t xml:space="preserve"> or ‘blockchain representation’, the goal is also to create a way for environmental markets to evolve toward truly decentralized and free personal market choice model.</w:t>
      </w:r>
    </w:p>
    <w:p w14:paraId="184C79B5" w14:textId="77777777" w:rsidR="00255F64" w:rsidRPr="00255F64" w:rsidRDefault="00255F64" w:rsidP="00255F64">
      <w:pPr>
        <w:spacing w:after="0" w:line="240" w:lineRule="auto"/>
        <w:jc w:val="both"/>
        <w:rPr>
          <w:rFonts w:ascii="Calibri" w:eastAsia="Calibri" w:hAnsi="Calibri" w:cs="Times New Roman"/>
          <w:lang w:val="en-US"/>
        </w:rPr>
      </w:pPr>
    </w:p>
    <w:p w14:paraId="48E5CF1F" w14:textId="38EC865D" w:rsidR="00255F64" w:rsidRDefault="00255F64" w:rsidP="00255F64">
      <w:pPr>
        <w:spacing w:after="0" w:line="240" w:lineRule="auto"/>
        <w:jc w:val="both"/>
        <w:rPr>
          <w:rFonts w:ascii="Calibri" w:eastAsia="Calibri" w:hAnsi="Calibri" w:cs="Times New Roman"/>
          <w:lang w:val="en-US"/>
        </w:rPr>
      </w:pPr>
      <w:r w:rsidRPr="00255F64">
        <w:rPr>
          <w:rFonts w:ascii="Calibri" w:eastAsia="Calibri" w:hAnsi="Calibri" w:cs="Times New Roman"/>
          <w:lang w:val="en-US"/>
        </w:rPr>
        <w:t xml:space="preserve">Near-term prospects rely on primary demand development at the account of </w:t>
      </w:r>
      <w:r w:rsidR="0029564F">
        <w:rPr>
          <w:rFonts w:ascii="Calibri" w:eastAsia="Calibri" w:hAnsi="Calibri" w:cs="Times New Roman"/>
          <w:lang w:val="en-US"/>
        </w:rPr>
        <w:t xml:space="preserve">self-sufficient individuals, </w:t>
      </w:r>
      <w:r w:rsidRPr="00255F64">
        <w:rPr>
          <w:rFonts w:ascii="Calibri" w:eastAsia="Calibri" w:hAnsi="Calibri" w:cs="Times New Roman"/>
          <w:lang w:val="en-US"/>
        </w:rPr>
        <w:t>large corporate and regional (subnational) climate programs (including global pilot market mechanism for international civil aviation), carbon footprint offsetting programs, and consumer demand development.</w:t>
      </w:r>
    </w:p>
    <w:p w14:paraId="3347C535" w14:textId="77777777" w:rsidR="00083939" w:rsidRDefault="00083939" w:rsidP="00255F64">
      <w:pPr>
        <w:spacing w:after="0" w:line="240" w:lineRule="auto"/>
        <w:jc w:val="both"/>
        <w:rPr>
          <w:rFonts w:ascii="Calibri" w:eastAsia="Calibri" w:hAnsi="Calibri" w:cs="Times New Roman"/>
          <w:lang w:val="en-US"/>
        </w:rPr>
      </w:pPr>
    </w:p>
    <w:p w14:paraId="63656023" w14:textId="77777777" w:rsidR="00083939" w:rsidRPr="00083939" w:rsidRDefault="00083939" w:rsidP="00083939">
      <w:pPr>
        <w:spacing w:after="0" w:line="240" w:lineRule="auto"/>
        <w:jc w:val="both"/>
        <w:rPr>
          <w:rFonts w:ascii="Calibri" w:eastAsia="Calibri" w:hAnsi="Calibri" w:cs="Times New Roman"/>
          <w:lang w:val="en-US"/>
        </w:rPr>
      </w:pPr>
      <w:r w:rsidRPr="00083939">
        <w:rPr>
          <w:rFonts w:ascii="Calibri" w:eastAsia="Calibri" w:hAnsi="Calibri" w:cs="Times New Roman"/>
          <w:lang w:val="en-US"/>
        </w:rPr>
        <w:t xml:space="preserve">Product development targets for next 6 months </w:t>
      </w:r>
    </w:p>
    <w:p w14:paraId="43260F68" w14:textId="77777777" w:rsidR="00083939" w:rsidRPr="00083939" w:rsidRDefault="00083939" w:rsidP="00083939">
      <w:pPr>
        <w:spacing w:after="0" w:line="240" w:lineRule="auto"/>
        <w:jc w:val="both"/>
        <w:rPr>
          <w:rFonts w:ascii="Calibri" w:eastAsia="Calibri" w:hAnsi="Calibri" w:cs="Times New Roman"/>
          <w:u w:val="single"/>
        </w:rPr>
      </w:pPr>
      <w:proofErr w:type="spellStart"/>
      <w:r w:rsidRPr="00083939">
        <w:rPr>
          <w:rFonts w:ascii="Calibri" w:eastAsia="Calibri" w:hAnsi="Calibri" w:cs="Times New Roman"/>
          <w:u w:val="single"/>
        </w:rPr>
        <w:t>Core</w:t>
      </w:r>
      <w:proofErr w:type="spellEnd"/>
      <w:r w:rsidRPr="00083939">
        <w:rPr>
          <w:rFonts w:ascii="Calibri" w:eastAsia="Calibri" w:hAnsi="Calibri" w:cs="Times New Roman"/>
          <w:u w:val="single"/>
        </w:rPr>
        <w:t xml:space="preserve"> </w:t>
      </w:r>
      <w:proofErr w:type="spellStart"/>
      <w:r w:rsidRPr="00083939">
        <w:rPr>
          <w:rFonts w:ascii="Calibri" w:eastAsia="Calibri" w:hAnsi="Calibri" w:cs="Times New Roman"/>
          <w:u w:val="single"/>
        </w:rPr>
        <w:t>products</w:t>
      </w:r>
      <w:proofErr w:type="spellEnd"/>
    </w:p>
    <w:p w14:paraId="2629E9D1" w14:textId="77777777" w:rsidR="00083939" w:rsidRPr="00083939" w:rsidRDefault="00083939" w:rsidP="00083939">
      <w:pPr>
        <w:numPr>
          <w:ilvl w:val="0"/>
          <w:numId w:val="38"/>
        </w:numPr>
        <w:spacing w:after="0" w:line="240" w:lineRule="auto"/>
        <w:jc w:val="both"/>
        <w:rPr>
          <w:rFonts w:ascii="Calibri" w:eastAsia="Calibri" w:hAnsi="Calibri" w:cs="Times New Roman"/>
          <w:lang w:val="en-US"/>
        </w:rPr>
      </w:pPr>
      <w:r w:rsidRPr="00083939">
        <w:rPr>
          <w:rFonts w:ascii="Calibri" w:eastAsia="Calibri" w:hAnsi="Calibri" w:cs="Times New Roman"/>
          <w:lang w:val="en-US"/>
        </w:rPr>
        <w:t>Release of new version of Decentralized application to support:</w:t>
      </w:r>
    </w:p>
    <w:p w14:paraId="30FBB305" w14:textId="64EB5D8C" w:rsidR="00083939" w:rsidRPr="00083939" w:rsidRDefault="00083939" w:rsidP="00083939">
      <w:pPr>
        <w:numPr>
          <w:ilvl w:val="1"/>
          <w:numId w:val="39"/>
        </w:numPr>
        <w:spacing w:after="0" w:line="240" w:lineRule="auto"/>
        <w:jc w:val="both"/>
        <w:rPr>
          <w:rFonts w:ascii="Calibri" w:eastAsia="Calibri" w:hAnsi="Calibri" w:cs="Times New Roman"/>
          <w:lang w:val="en-US"/>
        </w:rPr>
      </w:pPr>
      <w:r w:rsidRPr="00083939">
        <w:rPr>
          <w:rFonts w:ascii="Calibri" w:eastAsia="Calibri" w:hAnsi="Calibri" w:cs="Times New Roman"/>
          <w:lang w:val="en-US"/>
        </w:rPr>
        <w:t xml:space="preserve">Integration of Carbon rating to be assigned to carbon credits/projects </w:t>
      </w:r>
    </w:p>
    <w:p w14:paraId="430F9438" w14:textId="77777777" w:rsidR="00083939" w:rsidRPr="00083939" w:rsidRDefault="00083939" w:rsidP="00083939">
      <w:pPr>
        <w:numPr>
          <w:ilvl w:val="1"/>
          <w:numId w:val="39"/>
        </w:numPr>
        <w:spacing w:after="0" w:line="240" w:lineRule="auto"/>
        <w:jc w:val="both"/>
        <w:rPr>
          <w:rFonts w:ascii="Calibri" w:eastAsia="Calibri" w:hAnsi="Calibri" w:cs="Times New Roman"/>
          <w:lang w:val="en-US"/>
        </w:rPr>
      </w:pPr>
      <w:r w:rsidRPr="00083939">
        <w:rPr>
          <w:rFonts w:ascii="Calibri" w:eastAsia="Calibri" w:hAnsi="Calibri" w:cs="Times New Roman"/>
          <w:lang w:val="en-US"/>
        </w:rPr>
        <w:t xml:space="preserve">New version of MITO Market (Enhanced trading functionality) </w:t>
      </w:r>
    </w:p>
    <w:p w14:paraId="47B5F42C" w14:textId="77777777" w:rsidR="00083939" w:rsidRPr="00083939" w:rsidRDefault="00083939" w:rsidP="00083939">
      <w:pPr>
        <w:spacing w:after="0" w:line="240" w:lineRule="auto"/>
        <w:jc w:val="both"/>
        <w:rPr>
          <w:rFonts w:ascii="Calibri" w:eastAsia="Calibri" w:hAnsi="Calibri" w:cs="Times New Roman"/>
          <w:lang w:val="en-US"/>
        </w:rPr>
      </w:pPr>
    </w:p>
    <w:p w14:paraId="2A650EEE" w14:textId="77777777" w:rsidR="00083939" w:rsidRPr="00083939" w:rsidRDefault="00083939" w:rsidP="00083939">
      <w:pPr>
        <w:numPr>
          <w:ilvl w:val="0"/>
          <w:numId w:val="38"/>
        </w:numPr>
        <w:spacing w:after="0" w:line="240" w:lineRule="auto"/>
        <w:jc w:val="both"/>
        <w:rPr>
          <w:rFonts w:ascii="Calibri" w:eastAsia="Calibri" w:hAnsi="Calibri" w:cs="Times New Roman"/>
          <w:lang w:val="en-US"/>
        </w:rPr>
      </w:pPr>
      <w:r w:rsidRPr="00083939">
        <w:rPr>
          <w:rFonts w:ascii="Calibri" w:eastAsia="Calibri" w:hAnsi="Calibri" w:cs="Times New Roman"/>
          <w:lang w:val="en-US"/>
        </w:rPr>
        <w:t>Offsetting carbon footprint program (web-site based) for a variety of  goods and services,   including Ethereum ERC 20 tokens, and for corporate or personal carbon footprint</w:t>
      </w:r>
    </w:p>
    <w:p w14:paraId="01FA9D3A" w14:textId="77777777" w:rsidR="00083939" w:rsidRPr="00083939" w:rsidRDefault="00083939" w:rsidP="00083939">
      <w:pPr>
        <w:spacing w:after="0" w:line="240" w:lineRule="auto"/>
        <w:jc w:val="both"/>
        <w:rPr>
          <w:rFonts w:ascii="Calibri" w:eastAsia="Calibri" w:hAnsi="Calibri" w:cs="Times New Roman"/>
          <w:lang w:val="en-US"/>
        </w:rPr>
      </w:pPr>
    </w:p>
    <w:p w14:paraId="066E689B" w14:textId="3470B3CE" w:rsidR="00083939" w:rsidRPr="00083939" w:rsidRDefault="00083939" w:rsidP="00083939">
      <w:pPr>
        <w:numPr>
          <w:ilvl w:val="0"/>
          <w:numId w:val="38"/>
        </w:numPr>
        <w:spacing w:after="0" w:line="240" w:lineRule="auto"/>
        <w:jc w:val="both"/>
        <w:rPr>
          <w:rFonts w:ascii="Calibri" w:eastAsia="Calibri" w:hAnsi="Calibri" w:cs="Times New Roman"/>
          <w:lang w:val="en-US"/>
        </w:rPr>
      </w:pPr>
      <w:r w:rsidRPr="00083939">
        <w:rPr>
          <w:rFonts w:ascii="Calibri" w:eastAsia="Calibri" w:hAnsi="Calibri" w:cs="Times New Roman"/>
          <w:lang w:val="en-US"/>
        </w:rPr>
        <w:t xml:space="preserve"> Human-to-machine, IoT and Ethereum Net-based Verification Protocol </w:t>
      </w:r>
      <w:r w:rsidR="0029564F">
        <w:rPr>
          <w:rFonts w:ascii="Calibri" w:eastAsia="Calibri" w:hAnsi="Calibri" w:cs="Times New Roman"/>
          <w:lang w:val="en-US"/>
        </w:rPr>
        <w:t>(under testing)</w:t>
      </w:r>
    </w:p>
    <w:p w14:paraId="54AFAE11" w14:textId="77777777" w:rsidR="00083939" w:rsidRPr="00083939" w:rsidRDefault="00083939" w:rsidP="00083939">
      <w:pPr>
        <w:spacing w:after="0" w:line="240" w:lineRule="auto"/>
        <w:jc w:val="both"/>
        <w:rPr>
          <w:rFonts w:ascii="Calibri" w:eastAsia="Calibri" w:hAnsi="Calibri" w:cs="Times New Roman"/>
          <w:lang w:val="en-US"/>
        </w:rPr>
      </w:pPr>
    </w:p>
    <w:p w14:paraId="72B5B601" w14:textId="62AEA78C" w:rsidR="00083939" w:rsidRPr="00083939" w:rsidRDefault="00083939" w:rsidP="00083939">
      <w:pPr>
        <w:numPr>
          <w:ilvl w:val="0"/>
          <w:numId w:val="38"/>
        </w:numPr>
        <w:spacing w:after="0" w:line="240" w:lineRule="auto"/>
        <w:jc w:val="both"/>
        <w:rPr>
          <w:rFonts w:ascii="Calibri" w:eastAsia="Calibri" w:hAnsi="Calibri" w:cs="Times New Roman"/>
          <w:u w:val="single"/>
          <w:lang w:val="en-US"/>
        </w:rPr>
      </w:pPr>
      <w:r w:rsidRPr="00083939">
        <w:rPr>
          <w:rFonts w:ascii="Calibri" w:eastAsia="Calibri" w:hAnsi="Calibri" w:cs="Times New Roman"/>
          <w:lang w:val="en-US"/>
        </w:rPr>
        <w:t xml:space="preserve">Quantified impact/Quantified commitments module to support DAO IPCI procedures and protocols for art. </w:t>
      </w:r>
      <w:proofErr w:type="gramStart"/>
      <w:r w:rsidRPr="00083939">
        <w:rPr>
          <w:rFonts w:ascii="Calibri" w:eastAsia="Calibri" w:hAnsi="Calibri" w:cs="Times New Roman"/>
          <w:lang w:val="en-US"/>
        </w:rPr>
        <w:t>6</w:t>
      </w:r>
      <w:proofErr w:type="gramEnd"/>
      <w:r w:rsidRPr="00083939">
        <w:rPr>
          <w:rFonts w:ascii="Calibri" w:eastAsia="Calibri" w:hAnsi="Calibri" w:cs="Times New Roman"/>
          <w:lang w:val="en-US"/>
        </w:rPr>
        <w:t xml:space="preserve"> of the Paris agreement, INDCs, CORSIA market-base measures, etc. </w:t>
      </w:r>
    </w:p>
    <w:p w14:paraId="40142E3D" w14:textId="77777777" w:rsidR="00255F64" w:rsidRPr="00255F64" w:rsidRDefault="00255F64" w:rsidP="00255F64">
      <w:pPr>
        <w:spacing w:after="0" w:line="240" w:lineRule="auto"/>
        <w:jc w:val="both"/>
        <w:rPr>
          <w:rFonts w:ascii="Calibri" w:eastAsia="Calibri" w:hAnsi="Calibri" w:cs="Times New Roman"/>
          <w:lang w:val="en-US"/>
        </w:rPr>
      </w:pPr>
    </w:p>
    <w:p w14:paraId="613EA6F6" w14:textId="77777777" w:rsidR="00255F64" w:rsidRPr="00255F64" w:rsidRDefault="00083939" w:rsidP="00255F64">
      <w:pPr>
        <w:spacing w:after="0" w:line="240" w:lineRule="auto"/>
        <w:jc w:val="both"/>
        <w:rPr>
          <w:rFonts w:ascii="Calibri" w:eastAsia="Calibri" w:hAnsi="Calibri" w:cs="Times New Roman"/>
          <w:lang w:val="en-US"/>
        </w:rPr>
      </w:pPr>
      <w:r>
        <w:rPr>
          <w:rFonts w:ascii="Calibri" w:eastAsia="Calibri" w:hAnsi="Calibri" w:cs="Times New Roman"/>
          <w:lang w:val="en-US"/>
        </w:rPr>
        <w:t>General p</w:t>
      </w:r>
      <w:r w:rsidR="00255F64" w:rsidRPr="00255F64">
        <w:rPr>
          <w:rFonts w:ascii="Calibri" w:eastAsia="Calibri" w:hAnsi="Calibri" w:cs="Times New Roman"/>
          <w:lang w:val="en-US"/>
        </w:rPr>
        <w:t>lans of development specifically include:</w:t>
      </w:r>
    </w:p>
    <w:p w14:paraId="3B980C2D"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Detailed tracking of the environmental units origin (supply-chain</w:t>
      </w:r>
      <w:r w:rsidR="009B6171" w:rsidRPr="009B6171">
        <w:rPr>
          <w:rFonts w:ascii="Calibri" w:eastAsia="Times New Roman" w:hAnsi="Calibri" w:cs="Times New Roman"/>
          <w:szCs w:val="20"/>
          <w:lang w:val="en-US"/>
        </w:rPr>
        <w:t xml:space="preserve"> </w:t>
      </w:r>
      <w:r w:rsidR="009B6171">
        <w:rPr>
          <w:rFonts w:ascii="Calibri" w:eastAsia="Times New Roman" w:hAnsi="Calibri" w:cs="Times New Roman"/>
          <w:szCs w:val="20"/>
          <w:lang w:val="en-US"/>
        </w:rPr>
        <w:t>and life-cycle</w:t>
      </w:r>
      <w:r w:rsidRPr="00255F64">
        <w:rPr>
          <w:rFonts w:ascii="Calibri" w:eastAsia="Times New Roman" w:hAnsi="Calibri" w:cs="Times New Roman"/>
          <w:szCs w:val="20"/>
          <w:lang w:val="en-US"/>
        </w:rPr>
        <w:t>),</w:t>
      </w:r>
    </w:p>
    <w:p w14:paraId="5317E7E6"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 xml:space="preserve">Introduction of secured by collateral quantified commitments-based environmental units, </w:t>
      </w:r>
    </w:p>
    <w:p w14:paraId="57283C51"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 xml:space="preserve">Mechanism for joint offsetting of carbon footprint by Supplier and Consumer applicable at retail level as well as up to the level of supporting carbon neutral export programs,  </w:t>
      </w:r>
    </w:p>
    <w:p w14:paraId="3D9EE07E"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Linking DAO IPCI with programs and systems, which are based on physical measurement and  IoT-based monitoring of anthropogenic climate impact in real-time mode,</w:t>
      </w:r>
    </w:p>
    <w:p w14:paraId="13171F49"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Mechanism to support performance under Green Bonds’ commitments,</w:t>
      </w:r>
    </w:p>
    <w:p w14:paraId="7918015E"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 xml:space="preserve">Mechanisms and fungible instruments to support linkage of different GHG emissions limitation and reduction/removal systems, schemes, programs, and standards, </w:t>
      </w:r>
    </w:p>
    <w:p w14:paraId="28F968CA"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 xml:space="preserve">Development of OTC transactions and links with environmental, carbon, securities and commodities exchanges, </w:t>
      </w:r>
    </w:p>
    <w:p w14:paraId="0335C7C2"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 xml:space="preserve">Development and introduction of environmental units-based derivatives </w:t>
      </w:r>
    </w:p>
    <w:p w14:paraId="413CFDB2"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 xml:space="preserve">Mechanism to support hedging volatility of prices for different schemes, systems and programs carbon compliance units, </w:t>
      </w:r>
    </w:p>
    <w:p w14:paraId="5BDD738D"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 xml:space="preserve">Upon reaching adequate level of readiness and </w:t>
      </w:r>
      <w:proofErr w:type="gramStart"/>
      <w:r w:rsidRPr="00255F64">
        <w:rPr>
          <w:rFonts w:ascii="Calibri" w:eastAsia="Times New Roman" w:hAnsi="Calibri" w:cs="Times New Roman"/>
          <w:szCs w:val="20"/>
          <w:lang w:val="en-US"/>
        </w:rPr>
        <w:t>matureness</w:t>
      </w:r>
      <w:proofErr w:type="gramEnd"/>
      <w:r w:rsidRPr="00255F64">
        <w:rPr>
          <w:rFonts w:ascii="Calibri" w:eastAsia="Times New Roman" w:hAnsi="Calibri" w:cs="Times New Roman"/>
          <w:szCs w:val="20"/>
          <w:lang w:val="en-US"/>
        </w:rPr>
        <w:t xml:space="preserve"> development of virtual investment structure shall be considered.</w:t>
      </w:r>
    </w:p>
    <w:p w14:paraId="59A6C98E" w14:textId="77777777" w:rsidR="00255F64" w:rsidRPr="00255F64" w:rsidRDefault="00255F64" w:rsidP="00255F64">
      <w:pPr>
        <w:ind w:left="360"/>
        <w:contextualSpacing/>
        <w:jc w:val="both"/>
        <w:rPr>
          <w:rFonts w:ascii="Calibri" w:eastAsia="Calibri" w:hAnsi="Calibri" w:cs="Times New Roman"/>
          <w:lang w:val="en-US"/>
        </w:rPr>
      </w:pPr>
    </w:p>
    <w:p w14:paraId="6E8F248D" w14:textId="295CDAFC" w:rsidR="00255F64" w:rsidRPr="00255F64" w:rsidRDefault="00255F64" w:rsidP="00255F64">
      <w:pPr>
        <w:ind w:left="360"/>
        <w:contextualSpacing/>
        <w:jc w:val="both"/>
        <w:rPr>
          <w:rFonts w:ascii="Calibri" w:eastAsia="Calibri" w:hAnsi="Calibri" w:cs="Times New Roman"/>
          <w:lang w:val="en-US"/>
        </w:rPr>
      </w:pPr>
      <w:r w:rsidRPr="00255F64">
        <w:rPr>
          <w:rFonts w:ascii="Calibri" w:eastAsia="Calibri" w:hAnsi="Calibri" w:cs="Times New Roman"/>
          <w:lang w:val="en-US"/>
        </w:rPr>
        <w:t xml:space="preserve">Further development implies upstream and downstream modules development. </w:t>
      </w:r>
      <w:proofErr w:type="gramStart"/>
      <w:r w:rsidRPr="00255F64">
        <w:rPr>
          <w:rFonts w:ascii="Calibri" w:eastAsia="Calibri" w:hAnsi="Calibri" w:cs="Times New Roman"/>
          <w:lang w:val="en-US"/>
        </w:rPr>
        <w:t>Upstream modules are the first in the line, and would provide for more specific tracking of a supply-chain.</w:t>
      </w:r>
      <w:proofErr w:type="gramEnd"/>
      <w:r w:rsidRPr="00255F64">
        <w:rPr>
          <w:rFonts w:ascii="Calibri" w:eastAsia="Calibri" w:hAnsi="Calibri" w:cs="Times New Roman"/>
          <w:lang w:val="en-US"/>
        </w:rPr>
        <w:t xml:space="preserve"> That supply chain ends with an approved and verified environmental unit, for example</w:t>
      </w:r>
      <w:r w:rsidR="003B748C" w:rsidRPr="00255F64">
        <w:rPr>
          <w:rFonts w:ascii="Calibri" w:eastAsia="Calibri" w:hAnsi="Calibri" w:cs="Times New Roman"/>
          <w:lang w:val="en-US"/>
        </w:rPr>
        <w:t>, emission</w:t>
      </w:r>
      <w:r w:rsidRPr="00255F64">
        <w:rPr>
          <w:rFonts w:ascii="Calibri" w:eastAsia="Calibri" w:hAnsi="Calibri" w:cs="Times New Roman"/>
          <w:lang w:val="en-US"/>
        </w:rPr>
        <w:t xml:space="preserve"> reduction credit. </w:t>
      </w:r>
      <w:proofErr w:type="gramStart"/>
      <w:r w:rsidRPr="00255F64">
        <w:rPr>
          <w:rFonts w:ascii="Calibri" w:eastAsia="Calibri" w:hAnsi="Calibri" w:cs="Times New Roman"/>
          <w:lang w:val="en-US"/>
        </w:rPr>
        <w:t xml:space="preserve">The supply chain may include: a project concept, the concept then is developed in a standardized </w:t>
      </w:r>
      <w:r w:rsidRPr="00255F64">
        <w:rPr>
          <w:rFonts w:ascii="Calibri" w:eastAsia="Calibri" w:hAnsi="Calibri" w:cs="Times New Roman"/>
          <w:lang w:val="en-US"/>
        </w:rPr>
        <w:lastRenderedPageBreak/>
        <w:t>format, then the concept is supported by engineering and financial documentation, which is validated by an independent entity, and then submitted to regulator (operator of the program), public comments and approvals are received, and eventually environmental units are registered for use - - for sale or compliance.</w:t>
      </w:r>
      <w:proofErr w:type="gramEnd"/>
      <w:r w:rsidRPr="00255F64">
        <w:rPr>
          <w:rFonts w:ascii="Calibri" w:eastAsia="Calibri" w:hAnsi="Calibri" w:cs="Times New Roman"/>
          <w:lang w:val="en-US"/>
        </w:rPr>
        <w:t xml:space="preserve">  </w:t>
      </w:r>
    </w:p>
    <w:p w14:paraId="047A1882" w14:textId="77777777" w:rsidR="00255F64" w:rsidRPr="00255F64" w:rsidRDefault="00255F64" w:rsidP="00255F64">
      <w:pPr>
        <w:ind w:left="360"/>
        <w:contextualSpacing/>
        <w:jc w:val="both"/>
        <w:rPr>
          <w:rFonts w:ascii="Calibri" w:eastAsia="Calibri" w:hAnsi="Calibri" w:cs="Times New Roman"/>
          <w:lang w:val="en-US"/>
        </w:rPr>
      </w:pPr>
    </w:p>
    <w:p w14:paraId="5B0ADA43" w14:textId="1290393A" w:rsidR="00255F64" w:rsidRPr="00255F64" w:rsidRDefault="00255F64" w:rsidP="00255F64">
      <w:pPr>
        <w:ind w:left="360"/>
        <w:contextualSpacing/>
        <w:jc w:val="both"/>
        <w:rPr>
          <w:rFonts w:ascii="Calibri" w:eastAsia="Calibri" w:hAnsi="Calibri" w:cs="Times New Roman"/>
          <w:lang w:val="en-US"/>
        </w:rPr>
      </w:pPr>
      <w:r w:rsidRPr="00255F64">
        <w:rPr>
          <w:rFonts w:ascii="Calibri" w:eastAsia="Calibri" w:hAnsi="Calibri" w:cs="Times New Roman"/>
          <w:lang w:val="en-US"/>
        </w:rPr>
        <w:t>Blockchain allows users to track the time- and date-stamped ownership of electronic asset and its’ supply-chain and life cycle. Blockchain technology is a decentralized ledger that allows an asset owner to hold assets and transfer or sell it to another peer</w:t>
      </w:r>
      <w:r w:rsidR="00250C17" w:rsidRPr="00250C17">
        <w:rPr>
          <w:rFonts w:ascii="Calibri" w:eastAsia="Calibri" w:hAnsi="Calibri" w:cs="Times New Roman"/>
          <w:lang w:val="en-US"/>
        </w:rPr>
        <w:t xml:space="preserve"> </w:t>
      </w:r>
      <w:proofErr w:type="gramStart"/>
      <w:r w:rsidR="00250C17">
        <w:rPr>
          <w:rFonts w:ascii="Calibri" w:eastAsia="Calibri" w:hAnsi="Calibri" w:cs="Times New Roman"/>
          <w:lang w:val="en-US"/>
        </w:rPr>
        <w:t>on the basis of</w:t>
      </w:r>
      <w:proofErr w:type="gramEnd"/>
      <w:r w:rsidR="00250C17">
        <w:rPr>
          <w:rFonts w:ascii="Calibri" w:eastAsia="Calibri" w:hAnsi="Calibri" w:cs="Times New Roman"/>
          <w:lang w:val="en-US"/>
        </w:rPr>
        <w:t xml:space="preserve"> </w:t>
      </w:r>
      <w:r w:rsidR="00250C17" w:rsidRPr="00250C17">
        <w:rPr>
          <w:rFonts w:ascii="Calibri" w:eastAsia="Calibri" w:hAnsi="Calibri" w:cs="Times New Roman"/>
          <w:lang w:val="en-US"/>
        </w:rPr>
        <w:t xml:space="preserve">triple-entry accounting </w:t>
      </w:r>
      <w:r w:rsidR="00250C17">
        <w:rPr>
          <w:rFonts w:ascii="Calibri" w:eastAsia="Calibri" w:hAnsi="Calibri" w:cs="Times New Roman"/>
          <w:lang w:val="en-US"/>
        </w:rPr>
        <w:t>(</w:t>
      </w:r>
      <w:r w:rsidR="00250C17" w:rsidRPr="00250C17">
        <w:rPr>
          <w:rFonts w:ascii="Calibri" w:eastAsia="Calibri" w:hAnsi="Calibri" w:cs="Times New Roman"/>
          <w:lang w:val="en-US"/>
        </w:rPr>
        <w:t>momentum</w:t>
      </w:r>
      <w:r w:rsidR="00250C17">
        <w:rPr>
          <w:rFonts w:ascii="Calibri" w:eastAsia="Calibri" w:hAnsi="Calibri" w:cs="Times New Roman"/>
          <w:lang w:val="en-US"/>
        </w:rPr>
        <w:t>)</w:t>
      </w:r>
      <w:r w:rsidR="00250C17" w:rsidRPr="00250C17">
        <w:rPr>
          <w:rFonts w:ascii="Calibri" w:eastAsia="Calibri" w:hAnsi="Calibri" w:cs="Times New Roman"/>
          <w:lang w:val="en-US"/>
        </w:rPr>
        <w:t xml:space="preserve"> accounting</w:t>
      </w:r>
      <w:r w:rsidRPr="00255F64">
        <w:rPr>
          <w:rFonts w:ascii="Calibri" w:eastAsia="Calibri" w:hAnsi="Calibri" w:cs="Times New Roman"/>
          <w:lang w:val="en-US"/>
        </w:rPr>
        <w:t xml:space="preserve">. </w:t>
      </w:r>
      <w:r w:rsidR="00ED5B81" w:rsidRPr="00255F64">
        <w:rPr>
          <w:rFonts w:ascii="Calibri" w:eastAsia="Calibri" w:hAnsi="Calibri" w:cs="Times New Roman"/>
          <w:lang w:val="en-US"/>
        </w:rPr>
        <w:t>Alternatively</w:t>
      </w:r>
      <w:r w:rsidRPr="00255F64">
        <w:rPr>
          <w:rFonts w:ascii="Calibri" w:eastAsia="Calibri" w:hAnsi="Calibri" w:cs="Times New Roman"/>
          <w:lang w:val="en-US"/>
        </w:rPr>
        <w:t xml:space="preserve">, the assets holder can add more information to the initial assets so a documentation chain </w:t>
      </w:r>
      <w:proofErr w:type="gramStart"/>
      <w:r w:rsidRPr="00255F64">
        <w:rPr>
          <w:rFonts w:ascii="Calibri" w:eastAsia="Calibri" w:hAnsi="Calibri" w:cs="Times New Roman"/>
          <w:lang w:val="en-US"/>
        </w:rPr>
        <w:t>is credited</w:t>
      </w:r>
      <w:proofErr w:type="gramEnd"/>
      <w:r w:rsidRPr="00255F64">
        <w:rPr>
          <w:rFonts w:ascii="Calibri" w:eastAsia="Calibri" w:hAnsi="Calibri" w:cs="Times New Roman"/>
          <w:lang w:val="en-US"/>
        </w:rPr>
        <w:t xml:space="preserve">.  </w:t>
      </w:r>
    </w:p>
    <w:p w14:paraId="4A642E88" w14:textId="77777777" w:rsidR="00255F64" w:rsidRPr="00255F64" w:rsidRDefault="00255F64" w:rsidP="00255F64">
      <w:pPr>
        <w:ind w:left="360"/>
        <w:contextualSpacing/>
        <w:jc w:val="both"/>
        <w:rPr>
          <w:rFonts w:ascii="Calibri" w:eastAsia="Calibri" w:hAnsi="Calibri" w:cs="Times New Roman"/>
          <w:lang w:val="en-US"/>
        </w:rPr>
      </w:pPr>
    </w:p>
    <w:p w14:paraId="0059EA5B" w14:textId="77777777" w:rsidR="00255F64" w:rsidRPr="00255F64" w:rsidRDefault="00255F64" w:rsidP="00255F64">
      <w:pPr>
        <w:ind w:left="360"/>
        <w:contextualSpacing/>
        <w:jc w:val="both"/>
        <w:rPr>
          <w:rFonts w:ascii="Calibri" w:eastAsia="Calibri" w:hAnsi="Calibri" w:cs="Times New Roman"/>
          <w:lang w:val="en-US"/>
        </w:rPr>
      </w:pPr>
      <w:r w:rsidRPr="00255F64">
        <w:rPr>
          <w:rFonts w:ascii="Calibri" w:eastAsia="Calibri" w:hAnsi="Calibri" w:cs="Times New Roman"/>
          <w:lang w:val="en-US"/>
        </w:rPr>
        <w:t xml:space="preserve">Tracked data could include, but </w:t>
      </w:r>
      <w:proofErr w:type="gramStart"/>
      <w:r w:rsidRPr="00255F64">
        <w:rPr>
          <w:rFonts w:ascii="Calibri" w:eastAsia="Calibri" w:hAnsi="Calibri" w:cs="Times New Roman"/>
          <w:lang w:val="en-US"/>
        </w:rPr>
        <w:t>might not be limited</w:t>
      </w:r>
      <w:proofErr w:type="gramEnd"/>
      <w:r w:rsidRPr="00255F64">
        <w:rPr>
          <w:rFonts w:ascii="Calibri" w:eastAsia="Calibri" w:hAnsi="Calibri" w:cs="Times New Roman"/>
          <w:lang w:val="en-US"/>
        </w:rPr>
        <w:t xml:space="preserve"> to:</w:t>
      </w:r>
    </w:p>
    <w:p w14:paraId="14805B76"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Name and contact information of person(s) and firms entering data</w:t>
      </w:r>
    </w:p>
    <w:p w14:paraId="1B416C67"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Company name</w:t>
      </w:r>
    </w:p>
    <w:p w14:paraId="37E8658B"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Attributes associated with an environmental unit (credit)</w:t>
      </w:r>
    </w:p>
    <w:p w14:paraId="698C6567" w14:textId="77777777" w:rsidR="00255F64" w:rsidRPr="00255F64" w:rsidRDefault="00255F64" w:rsidP="00255F64">
      <w:pPr>
        <w:numPr>
          <w:ilvl w:val="1"/>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Deforestation impacts</w:t>
      </w:r>
    </w:p>
    <w:p w14:paraId="4A1B0D70" w14:textId="77777777" w:rsidR="00255F64" w:rsidRPr="00255F64" w:rsidRDefault="00255F64" w:rsidP="00255F64">
      <w:pPr>
        <w:numPr>
          <w:ilvl w:val="1"/>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Water management impacts</w:t>
      </w:r>
    </w:p>
    <w:p w14:paraId="0ADF668B" w14:textId="77777777" w:rsidR="00255F64" w:rsidRPr="00255F64" w:rsidRDefault="00255F64" w:rsidP="00255F64">
      <w:pPr>
        <w:numPr>
          <w:ilvl w:val="1"/>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Biodiversity impacts,</w:t>
      </w:r>
    </w:p>
    <w:p w14:paraId="376DA8B4" w14:textId="77777777" w:rsidR="00255F64" w:rsidRPr="00255F64" w:rsidRDefault="00255F64" w:rsidP="00255F64">
      <w:pPr>
        <w:numPr>
          <w:ilvl w:val="1"/>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Gender impacts</w:t>
      </w:r>
    </w:p>
    <w:p w14:paraId="04EDE2CD" w14:textId="77777777" w:rsidR="00255F64" w:rsidRPr="00255F64" w:rsidRDefault="00255F64" w:rsidP="00255F64">
      <w:pPr>
        <w:numPr>
          <w:ilvl w:val="1"/>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Health impacts</w:t>
      </w:r>
    </w:p>
    <w:p w14:paraId="35228B0B" w14:textId="77777777" w:rsidR="00255F64" w:rsidRPr="00255F64" w:rsidRDefault="00255F64" w:rsidP="00255F64">
      <w:pPr>
        <w:numPr>
          <w:ilvl w:val="1"/>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Number of GHG emission reduction projected by year</w:t>
      </w:r>
    </w:p>
    <w:p w14:paraId="093D0429"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Time, date and location of data entry,</w:t>
      </w:r>
    </w:p>
    <w:p w14:paraId="04D5403C"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Testing, measurement, and certification protocols used,</w:t>
      </w:r>
    </w:p>
    <w:p w14:paraId="040DFF23"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3rd party attestations, and</w:t>
      </w:r>
    </w:p>
    <w:p w14:paraId="2801A42E" w14:textId="77777777" w:rsidR="00255F64" w:rsidRPr="00255F64" w:rsidRDefault="00255F64" w:rsidP="00255F64">
      <w:pPr>
        <w:numPr>
          <w:ilvl w:val="0"/>
          <w:numId w:val="13"/>
        </w:numPr>
        <w:spacing w:after="0" w:line="240" w:lineRule="auto"/>
        <w:contextualSpacing/>
        <w:jc w:val="both"/>
        <w:rPr>
          <w:rFonts w:ascii="Calibri" w:eastAsia="Times New Roman" w:hAnsi="Calibri" w:cs="Times New Roman"/>
          <w:szCs w:val="20"/>
          <w:lang w:val="en-US"/>
        </w:rPr>
      </w:pPr>
      <w:r w:rsidRPr="00255F64">
        <w:rPr>
          <w:rFonts w:ascii="Calibri" w:eastAsia="Times New Roman" w:hAnsi="Calibri" w:cs="Times New Roman"/>
          <w:szCs w:val="20"/>
          <w:lang w:val="en-US"/>
        </w:rPr>
        <w:t>Insurance company of auditor.</w:t>
      </w:r>
    </w:p>
    <w:p w14:paraId="6204309B" w14:textId="77777777" w:rsidR="00255F64" w:rsidRPr="00255F64" w:rsidRDefault="00255F64" w:rsidP="00255F64">
      <w:pPr>
        <w:ind w:left="360"/>
        <w:contextualSpacing/>
        <w:jc w:val="both"/>
        <w:rPr>
          <w:rFonts w:ascii="Calibri" w:eastAsia="Calibri" w:hAnsi="Calibri" w:cs="Times New Roman"/>
          <w:lang w:val="en-US"/>
        </w:rPr>
      </w:pPr>
    </w:p>
    <w:p w14:paraId="55C9977A" w14:textId="77777777" w:rsidR="00255F64" w:rsidRPr="00255F64" w:rsidRDefault="00255F64" w:rsidP="00255F64">
      <w:pPr>
        <w:jc w:val="both"/>
        <w:rPr>
          <w:lang w:val="en-US"/>
        </w:rPr>
      </w:pPr>
      <w:r w:rsidRPr="00255F64">
        <w:rPr>
          <w:lang w:val="en-US"/>
        </w:rPr>
        <w:t xml:space="preserve">Each document </w:t>
      </w:r>
      <w:proofErr w:type="gramStart"/>
      <w:r w:rsidRPr="00255F64">
        <w:rPr>
          <w:lang w:val="en-US"/>
        </w:rPr>
        <w:t>is linked</w:t>
      </w:r>
      <w:proofErr w:type="gramEnd"/>
      <w:r w:rsidRPr="00255F64">
        <w:rPr>
          <w:lang w:val="en-US"/>
        </w:rPr>
        <w:t xml:space="preserve"> in an electronic chain, and the entire audit trail can be reviewed.</w:t>
      </w:r>
    </w:p>
    <w:p w14:paraId="31C5161D" w14:textId="77777777" w:rsidR="00255F64" w:rsidRPr="00255F64" w:rsidRDefault="00255F64" w:rsidP="00255F64">
      <w:pPr>
        <w:jc w:val="both"/>
        <w:rPr>
          <w:lang w:val="en-US"/>
        </w:rPr>
      </w:pPr>
      <w:r w:rsidRPr="00255F64">
        <w:rPr>
          <w:lang w:val="en-US"/>
        </w:rPr>
        <w:t xml:space="preserve">Auditability also supports apportioning liability because every claim </w:t>
      </w:r>
      <w:proofErr w:type="gramStart"/>
      <w:r w:rsidRPr="00255F64">
        <w:rPr>
          <w:lang w:val="en-US"/>
        </w:rPr>
        <w:t>can be pointed</w:t>
      </w:r>
      <w:proofErr w:type="gramEnd"/>
      <w:r w:rsidRPr="00255F64">
        <w:rPr>
          <w:lang w:val="en-US"/>
        </w:rPr>
        <w:t xml:space="preserve"> to a responsible party, so the final purchaser can be better prepared to understand their reputation and commercial risks associated with an environmental unit purchase and use.</w:t>
      </w:r>
    </w:p>
    <w:p w14:paraId="70EE1480" w14:textId="362FFD94" w:rsidR="00255F64" w:rsidRPr="00255F64" w:rsidRDefault="00255F64" w:rsidP="00255F64">
      <w:pPr>
        <w:jc w:val="both"/>
        <w:rPr>
          <w:lang w:val="en-US"/>
        </w:rPr>
      </w:pPr>
      <w:r w:rsidRPr="00255F64">
        <w:rPr>
          <w:lang w:val="en-US"/>
        </w:rPr>
        <w:t>Blockchain can provide the auditability and liability assignment industry demands and many of the features are available today.</w:t>
      </w:r>
      <w:r w:rsidR="001E352B" w:rsidRPr="001E352B">
        <w:rPr>
          <w:lang w:val="en-US"/>
        </w:rPr>
        <w:t xml:space="preserve"> </w:t>
      </w:r>
      <w:r w:rsidRPr="00255F64">
        <w:rPr>
          <w:lang w:val="en-US"/>
        </w:rPr>
        <w:t xml:space="preserve"> As of today, every DAO IPCI blockchain transaction </w:t>
      </w:r>
      <w:proofErr w:type="gramStart"/>
      <w:r w:rsidR="00ED5B81">
        <w:rPr>
          <w:lang w:val="en-US"/>
        </w:rPr>
        <w:t>may be</w:t>
      </w:r>
      <w:r w:rsidRPr="00255F64">
        <w:rPr>
          <w:lang w:val="en-US"/>
        </w:rPr>
        <w:t xml:space="preserve"> supported</w:t>
      </w:r>
      <w:proofErr w:type="gramEnd"/>
      <w:r w:rsidRPr="00255F64">
        <w:rPr>
          <w:lang w:val="en-US"/>
        </w:rPr>
        <w:t xml:space="preserve"> by documents uploaded to IPFS.</w:t>
      </w:r>
    </w:p>
    <w:p w14:paraId="789554A7" w14:textId="6A1FF566" w:rsidR="00255F64" w:rsidRPr="00255F64" w:rsidRDefault="00255F64" w:rsidP="00255F64">
      <w:pPr>
        <w:jc w:val="both"/>
        <w:rPr>
          <w:lang w:val="en-US"/>
        </w:rPr>
      </w:pPr>
      <w:r w:rsidRPr="00255F64">
        <w:rPr>
          <w:lang w:val="en-US"/>
        </w:rPr>
        <w:t xml:space="preserve">As to downstream modules development, they imply market evolvement, and some of them </w:t>
      </w:r>
      <w:proofErr w:type="gramStart"/>
      <w:r w:rsidRPr="00255F64">
        <w:rPr>
          <w:lang w:val="en-US"/>
        </w:rPr>
        <w:t>have been described</w:t>
      </w:r>
      <w:proofErr w:type="gramEnd"/>
      <w:r w:rsidRPr="00255F64">
        <w:rPr>
          <w:lang w:val="en-US"/>
        </w:rPr>
        <w:t xml:space="preserve"> above. </w:t>
      </w:r>
    </w:p>
    <w:p w14:paraId="13DD8913" w14:textId="77777777" w:rsidR="004A5224" w:rsidRDefault="004A5224" w:rsidP="004A5224">
      <w:pPr>
        <w:jc w:val="both"/>
        <w:rPr>
          <w:lang w:val="en-US"/>
        </w:rPr>
      </w:pPr>
      <w:r>
        <w:rPr>
          <w:lang w:val="en-US"/>
        </w:rPr>
        <w:t>Ongoing</w:t>
      </w:r>
      <w:r w:rsidRPr="007F5539">
        <w:rPr>
          <w:lang w:val="en-US"/>
        </w:rPr>
        <w:t xml:space="preserve"> </w:t>
      </w:r>
      <w:r>
        <w:rPr>
          <w:lang w:val="en-US"/>
        </w:rPr>
        <w:t>and</w:t>
      </w:r>
      <w:r w:rsidRPr="007F5539">
        <w:rPr>
          <w:lang w:val="en-US"/>
        </w:rPr>
        <w:t xml:space="preserve"> </w:t>
      </w:r>
      <w:r>
        <w:rPr>
          <w:lang w:val="en-US"/>
        </w:rPr>
        <w:t>perspective</w:t>
      </w:r>
      <w:r w:rsidRPr="007F5539">
        <w:rPr>
          <w:lang w:val="en-US"/>
        </w:rPr>
        <w:t xml:space="preserve"> </w:t>
      </w:r>
      <w:r>
        <w:rPr>
          <w:lang w:val="en-US"/>
        </w:rPr>
        <w:t>plans</w:t>
      </w:r>
      <w:r w:rsidRPr="007F5539">
        <w:rPr>
          <w:lang w:val="en-US"/>
        </w:rPr>
        <w:t xml:space="preserve"> </w:t>
      </w:r>
      <w:r>
        <w:rPr>
          <w:lang w:val="en-US"/>
        </w:rPr>
        <w:t>require</w:t>
      </w:r>
      <w:r w:rsidRPr="007F5539">
        <w:rPr>
          <w:lang w:val="en-US"/>
        </w:rPr>
        <w:t xml:space="preserve"> </w:t>
      </w:r>
      <w:r>
        <w:rPr>
          <w:lang w:val="en-US"/>
        </w:rPr>
        <w:t>design</w:t>
      </w:r>
      <w:r w:rsidRPr="007F5539">
        <w:rPr>
          <w:lang w:val="en-US"/>
        </w:rPr>
        <w:t xml:space="preserve"> </w:t>
      </w:r>
      <w:r>
        <w:rPr>
          <w:lang w:val="en-US"/>
        </w:rPr>
        <w:t>and</w:t>
      </w:r>
      <w:r w:rsidRPr="007F5539">
        <w:rPr>
          <w:lang w:val="en-US"/>
        </w:rPr>
        <w:t xml:space="preserve"> </w:t>
      </w:r>
      <w:r>
        <w:rPr>
          <w:lang w:val="en-US"/>
        </w:rPr>
        <w:t>development of collateral associated web-resources</w:t>
      </w:r>
      <w:r w:rsidR="00E268FE">
        <w:rPr>
          <w:lang w:val="en-US"/>
        </w:rPr>
        <w:t>, interfaces</w:t>
      </w:r>
      <w:r>
        <w:rPr>
          <w:lang w:val="en-US"/>
        </w:rPr>
        <w:t xml:space="preserve"> and applications</w:t>
      </w:r>
      <w:r w:rsidR="00E268FE">
        <w:rPr>
          <w:lang w:val="en-US"/>
        </w:rPr>
        <w:t>, including API</w:t>
      </w:r>
      <w:r w:rsidR="00780D07">
        <w:rPr>
          <w:lang w:val="en-US"/>
        </w:rPr>
        <w:t>, websites</w:t>
      </w:r>
      <w:r>
        <w:rPr>
          <w:lang w:val="en-US"/>
        </w:rPr>
        <w:t xml:space="preserve">, trading platform, blockchain data visualization and filtering, communication channels to link with financial, banking, insurance products and systems. </w:t>
      </w:r>
      <w:r w:rsidR="00E268FE">
        <w:rPr>
          <w:lang w:val="en-US"/>
        </w:rPr>
        <w:t xml:space="preserve">Unlike design, development and introduction of core protocols, modules, smart-contracts, which are essentially open-sourced, this is a sphere for business </w:t>
      </w:r>
      <w:r w:rsidR="00780D07">
        <w:rPr>
          <w:lang w:val="en-US"/>
        </w:rPr>
        <w:t>development</w:t>
      </w:r>
      <w:r w:rsidR="00E268FE">
        <w:rPr>
          <w:lang w:val="en-US"/>
        </w:rPr>
        <w:t xml:space="preserve"> and commercial </w:t>
      </w:r>
      <w:r w:rsidR="00780D07">
        <w:rPr>
          <w:lang w:val="en-US"/>
        </w:rPr>
        <w:t>services</w:t>
      </w:r>
      <w:r w:rsidR="00E268FE">
        <w:rPr>
          <w:lang w:val="en-US"/>
        </w:rPr>
        <w:t xml:space="preserve">. </w:t>
      </w:r>
    </w:p>
    <w:p w14:paraId="34E061DD" w14:textId="77777777" w:rsidR="004A5224" w:rsidRPr="001A0467" w:rsidRDefault="004A5224" w:rsidP="004A5224">
      <w:pPr>
        <w:rPr>
          <w:lang w:val="en-US"/>
        </w:rPr>
      </w:pPr>
    </w:p>
    <w:p w14:paraId="1F172B76" w14:textId="77777777" w:rsidR="004A5224" w:rsidRDefault="004A5224" w:rsidP="004A5224">
      <w:pPr>
        <w:jc w:val="center"/>
        <w:rPr>
          <w:bCs/>
          <w:i/>
          <w:lang w:val="en-US"/>
        </w:rPr>
      </w:pPr>
      <w:r>
        <w:rPr>
          <w:i/>
          <w:lang w:val="en-US"/>
        </w:rPr>
        <w:t>DAO</w:t>
      </w:r>
      <w:r w:rsidRPr="008132D0">
        <w:rPr>
          <w:i/>
          <w:lang w:val="en-US"/>
        </w:rPr>
        <w:t xml:space="preserve"> </w:t>
      </w:r>
      <w:r>
        <w:rPr>
          <w:i/>
          <w:lang w:val="en-US"/>
        </w:rPr>
        <w:t>IPCI</w:t>
      </w:r>
      <w:r w:rsidRPr="008132D0">
        <w:rPr>
          <w:i/>
          <w:lang w:val="en-US"/>
        </w:rPr>
        <w:t xml:space="preserve"> </w:t>
      </w:r>
      <w:r>
        <w:rPr>
          <w:i/>
          <w:lang w:val="en-US"/>
        </w:rPr>
        <w:t>is</w:t>
      </w:r>
      <w:r w:rsidRPr="008132D0">
        <w:rPr>
          <w:i/>
          <w:lang w:val="en-US"/>
        </w:rPr>
        <w:t xml:space="preserve"> </w:t>
      </w:r>
      <w:r>
        <w:rPr>
          <w:i/>
          <w:lang w:val="en-US"/>
        </w:rPr>
        <w:t>developed</w:t>
      </w:r>
      <w:r w:rsidRPr="008132D0">
        <w:rPr>
          <w:i/>
          <w:lang w:val="en-US"/>
        </w:rPr>
        <w:t xml:space="preserve"> </w:t>
      </w:r>
      <w:r>
        <w:rPr>
          <w:i/>
          <w:lang w:val="en-US"/>
        </w:rPr>
        <w:t>in</w:t>
      </w:r>
      <w:r w:rsidRPr="008132D0">
        <w:rPr>
          <w:i/>
          <w:lang w:val="en-US"/>
        </w:rPr>
        <w:t xml:space="preserve"> </w:t>
      </w:r>
      <w:r>
        <w:rPr>
          <w:i/>
          <w:lang w:val="en-US"/>
        </w:rPr>
        <w:t>cooperation</w:t>
      </w:r>
      <w:r w:rsidRPr="008132D0">
        <w:rPr>
          <w:i/>
          <w:lang w:val="en-US"/>
        </w:rPr>
        <w:t xml:space="preserve"> </w:t>
      </w:r>
      <w:r>
        <w:rPr>
          <w:i/>
          <w:lang w:val="en-US"/>
        </w:rPr>
        <w:t>with</w:t>
      </w:r>
      <w:r w:rsidRPr="008132D0">
        <w:rPr>
          <w:i/>
          <w:lang w:val="en-US"/>
        </w:rPr>
        <w:t xml:space="preserve"> </w:t>
      </w:r>
      <w:proofErr w:type="spellStart"/>
      <w:r>
        <w:rPr>
          <w:i/>
          <w:lang w:val="en-US"/>
        </w:rPr>
        <w:t>Airalab</w:t>
      </w:r>
      <w:proofErr w:type="spellEnd"/>
      <w:r w:rsidRPr="008132D0">
        <w:rPr>
          <w:i/>
          <w:lang w:val="en-US"/>
        </w:rPr>
        <w:t xml:space="preserve"> </w:t>
      </w:r>
      <w:r>
        <w:rPr>
          <w:i/>
          <w:lang w:val="en-US"/>
        </w:rPr>
        <w:t xml:space="preserve">within and </w:t>
      </w:r>
      <w:proofErr w:type="gramStart"/>
      <w:r>
        <w:rPr>
          <w:i/>
          <w:lang w:val="en-US"/>
        </w:rPr>
        <w:t>on the basis of</w:t>
      </w:r>
      <w:proofErr w:type="gramEnd"/>
      <w:r>
        <w:rPr>
          <w:i/>
          <w:lang w:val="en-US"/>
        </w:rPr>
        <w:t xml:space="preserve"> the </w:t>
      </w:r>
      <w:r w:rsidRPr="00A93762">
        <w:rPr>
          <w:i/>
          <w:lang w:val="en-US"/>
        </w:rPr>
        <w:t>“Ethereum Platform”</w:t>
      </w:r>
      <w:r w:rsidRPr="008132D0">
        <w:rPr>
          <w:i/>
          <w:lang w:val="en-US"/>
        </w:rPr>
        <w:t xml:space="preserve">. </w:t>
      </w:r>
      <w:r>
        <w:rPr>
          <w:i/>
          <w:lang w:val="en-US"/>
        </w:rPr>
        <w:t>Open source software</w:t>
      </w:r>
      <w:r w:rsidRPr="00A93762">
        <w:rPr>
          <w:i/>
          <w:lang w:val="en-US"/>
        </w:rPr>
        <w:t xml:space="preserve"> of the “Ethereum Platform”</w:t>
      </w:r>
      <w:r>
        <w:rPr>
          <w:i/>
          <w:lang w:val="en-US"/>
        </w:rPr>
        <w:t xml:space="preserve"> </w:t>
      </w:r>
      <w:proofErr w:type="gramStart"/>
      <w:r>
        <w:rPr>
          <w:i/>
          <w:lang w:val="en-US"/>
        </w:rPr>
        <w:t xml:space="preserve">is used and developed under the terms of </w:t>
      </w:r>
      <w:hyperlink r:id="rId25" w:history="1">
        <w:r w:rsidRPr="008132D0">
          <w:rPr>
            <w:rStyle w:val="a3"/>
            <w:i/>
            <w:lang w:val="en-US"/>
          </w:rPr>
          <w:t>GNU Lesser General Public License</w:t>
        </w:r>
      </w:hyperlink>
      <w:r w:rsidRPr="008132D0">
        <w:rPr>
          <w:i/>
          <w:lang w:val="en-US"/>
        </w:rPr>
        <w:t xml:space="preserve"> and </w:t>
      </w:r>
      <w:hyperlink r:id="rId26" w:history="1">
        <w:r w:rsidRPr="008132D0">
          <w:rPr>
            <w:rStyle w:val="a3"/>
            <w:bCs/>
            <w:i/>
            <w:lang w:val="en-US"/>
          </w:rPr>
          <w:t>Disclaimer of Liabilities and Warranties</w:t>
        </w:r>
        <w:proofErr w:type="gramEnd"/>
      </w:hyperlink>
      <w:r>
        <w:rPr>
          <w:bCs/>
          <w:i/>
          <w:lang w:val="en-US"/>
        </w:rPr>
        <w:t>.</w:t>
      </w:r>
    </w:p>
    <w:p w14:paraId="56EB0EFB" w14:textId="77777777" w:rsidR="00780D07" w:rsidRDefault="00780D07" w:rsidP="00780D07">
      <w:pPr>
        <w:jc w:val="center"/>
        <w:rPr>
          <w:bCs/>
          <w:i/>
          <w:lang w:val="en-US"/>
        </w:rPr>
      </w:pPr>
      <w:r>
        <w:rPr>
          <w:bCs/>
          <w:i/>
          <w:lang w:val="en-US"/>
        </w:rPr>
        <w:lastRenderedPageBreak/>
        <w:t xml:space="preserve">DAO IPCI source code, </w:t>
      </w:r>
      <w:r w:rsidRPr="00780D07">
        <w:rPr>
          <w:bCs/>
          <w:i/>
          <w:lang w:val="en-US"/>
        </w:rPr>
        <w:t>core protocols, modules, smart-contracts</w:t>
      </w:r>
      <w:r>
        <w:rPr>
          <w:bCs/>
          <w:i/>
          <w:lang w:val="en-US"/>
        </w:rPr>
        <w:t xml:space="preserve"> are available on the basis of </w:t>
      </w:r>
      <w:r w:rsidRPr="00780D07">
        <w:rPr>
          <w:bCs/>
          <w:i/>
          <w:lang w:val="en-US"/>
        </w:rPr>
        <w:t xml:space="preserve">the </w:t>
      </w:r>
      <w:hyperlink r:id="rId27" w:history="1">
        <w:r w:rsidRPr="00780D07">
          <w:rPr>
            <w:rStyle w:val="a3"/>
            <w:bCs/>
            <w:i/>
            <w:lang w:val="en-US"/>
          </w:rPr>
          <w:t>3-Clause BSD License</w:t>
        </w:r>
      </w:hyperlink>
      <w:r>
        <w:rPr>
          <w:bCs/>
          <w:i/>
          <w:lang w:val="en-US"/>
        </w:rPr>
        <w:t xml:space="preserve"> and are</w:t>
      </w:r>
    </w:p>
    <w:p w14:paraId="12AA871B" w14:textId="77777777" w:rsidR="00780D07" w:rsidRPr="00780D07" w:rsidRDefault="00780D07" w:rsidP="00780D07">
      <w:pPr>
        <w:jc w:val="center"/>
        <w:rPr>
          <w:bCs/>
          <w:i/>
          <w:lang w:val="en-US"/>
        </w:rPr>
      </w:pPr>
      <w:r w:rsidRPr="00780D07">
        <w:rPr>
          <w:bCs/>
          <w:i/>
          <w:lang w:val="en-US"/>
        </w:rPr>
        <w:t xml:space="preserve"> PROVIDED "AS IS" AND ANY EXPRESS OR IMPLIED WARRANTIES, INCLUDING, BUT NOT LIMITED TO, THE IMPLIED WARRANTIES OF MERCHANTABILITY AND FITNESS FOR A PARTICULAR PURPOSE ARE DISCLAIMED. </w:t>
      </w:r>
      <w:proofErr w:type="gramStart"/>
      <w:r w:rsidRPr="00780D07">
        <w:rPr>
          <w:bCs/>
          <w:i/>
          <w:lang w:val="en-US"/>
        </w:rPr>
        <w:t xml:space="preserve">IN NO EVENT SHALL </w:t>
      </w:r>
      <w:r>
        <w:rPr>
          <w:bCs/>
          <w:i/>
          <w:lang w:val="en-US"/>
        </w:rPr>
        <w:t>DAO IPCI</w:t>
      </w:r>
      <w:r w:rsidRPr="00780D07">
        <w:rPr>
          <w:bCs/>
          <w:i/>
          <w:lang w:val="en-US"/>
        </w:rPr>
        <w:t xml:space="preserve">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USE OF THIS SOFTWARE, EVEN IF ADVISED OF THE POSSIBILITY OF SUCH DAMAGE.</w:t>
      </w:r>
      <w:proofErr w:type="gramEnd"/>
    </w:p>
    <w:p w14:paraId="2BE89F36" w14:textId="5D8CFA79" w:rsidR="00AF3832" w:rsidRDefault="00494BB7" w:rsidP="00C6342D">
      <w:pPr>
        <w:rPr>
          <w:rStyle w:val="ae"/>
          <w:b w:val="0"/>
          <w:lang w:val="en-US"/>
        </w:rPr>
      </w:pPr>
      <w:r>
        <w:rPr>
          <w:bCs/>
          <w:i/>
          <w:lang w:val="en-US"/>
        </w:rPr>
        <w:br w:type="page"/>
      </w:r>
    </w:p>
    <w:p w14:paraId="3166E967" w14:textId="77777777" w:rsidR="00897CB5" w:rsidRPr="00E3398E" w:rsidRDefault="00897CB5" w:rsidP="00E3398E">
      <w:pPr>
        <w:jc w:val="both"/>
        <w:rPr>
          <w:lang w:val="en-US"/>
        </w:rPr>
      </w:pPr>
    </w:p>
    <w:sectPr w:rsidR="00897CB5" w:rsidRPr="00E3398E" w:rsidSect="00C6342D">
      <w:headerReference w:type="default" r:id="rId28"/>
      <w:footerReference w:type="default" r:id="rId29"/>
      <w:headerReference w:type="first" r:id="rId30"/>
      <w:pgSz w:w="11906" w:h="16838"/>
      <w:pgMar w:top="1134" w:right="850" w:bottom="1134" w:left="1701" w:header="708" w:footer="708" w:gutter="0"/>
      <w:pgNumType w:start="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6BC6DB" w16cid:durableId="1E36FB3E"/>
  <w16cid:commentId w16cid:paraId="161B7493" w16cid:durableId="1E2EE317"/>
  <w16cid:commentId w16cid:paraId="7906433E" w16cid:durableId="1E36FBBB"/>
  <w16cid:commentId w16cid:paraId="3653D92F" w16cid:durableId="1E2EE3A6"/>
  <w16cid:commentId w16cid:paraId="49BFB93D" w16cid:durableId="1E2EE406"/>
  <w16cid:commentId w16cid:paraId="5B3238D8" w16cid:durableId="1E2EE456"/>
  <w16cid:commentId w16cid:paraId="40DDD739" w16cid:durableId="1E36FDA0"/>
  <w16cid:commentId w16cid:paraId="0AFE7F2E" w16cid:durableId="1E36FDE4"/>
  <w16cid:commentId w16cid:paraId="55DADA7C" w16cid:durableId="1E3700A4"/>
  <w16cid:commentId w16cid:paraId="72AB5EC7" w16cid:durableId="1E37B9EA"/>
  <w16cid:commentId w16cid:paraId="59B4A71A" w16cid:durableId="1E37BB8C"/>
  <w16cid:commentId w16cid:paraId="11BB4503" w16cid:durableId="1E37BC5D"/>
  <w16cid:commentId w16cid:paraId="03FB48A0" w16cid:durableId="1E37C0C9"/>
  <w16cid:commentId w16cid:paraId="6A868B42" w16cid:durableId="1E37C094"/>
  <w16cid:commentId w16cid:paraId="2D8A14E1" w16cid:durableId="1E37C0AC"/>
  <w16cid:commentId w16cid:paraId="4428867F" w16cid:durableId="1E37C299"/>
  <w16cid:commentId w16cid:paraId="04B9646E" w16cid:durableId="1E37C2AB"/>
  <w16cid:commentId w16cid:paraId="347A39A7" w16cid:durableId="1E37C579"/>
  <w16cid:commentId w16cid:paraId="217387F4" w16cid:durableId="1E37C5B3"/>
  <w16cid:commentId w16cid:paraId="3C64EED8" w16cid:durableId="1E37C6CF"/>
  <w16cid:commentId w16cid:paraId="47AD465C" w16cid:durableId="1E37C6E3"/>
  <w16cid:commentId w16cid:paraId="0CAFA6E7" w16cid:durableId="1E37C6FA"/>
  <w16cid:commentId w16cid:paraId="4F305B36" w16cid:durableId="1E37C767"/>
  <w16cid:commentId w16cid:paraId="10F38409" w16cid:durableId="1E37C850"/>
  <w16cid:commentId w16cid:paraId="1B26D238" w16cid:durableId="1E37C878"/>
  <w16cid:commentId w16cid:paraId="1D9A2CAA" w16cid:durableId="1E37CC04"/>
  <w16cid:commentId w16cid:paraId="6E7E841B" w16cid:durableId="1E37CC72"/>
  <w16cid:commentId w16cid:paraId="012E0214" w16cid:durableId="1E37CC8A"/>
  <w16cid:commentId w16cid:paraId="4D7EC047" w16cid:durableId="1E37CD41"/>
  <w16cid:commentId w16cid:paraId="6B2F785A" w16cid:durableId="1E2FF32E"/>
  <w16cid:commentId w16cid:paraId="5123A0ED" w16cid:durableId="1E37E02A"/>
  <w16cid:commentId w16cid:paraId="443D7F80" w16cid:durableId="1E37E2A6"/>
  <w16cid:commentId w16cid:paraId="7560EB7E" w16cid:durableId="1E37E2BE"/>
  <w16cid:commentId w16cid:paraId="390CF408" w16cid:durableId="1E37E326"/>
  <w16cid:commentId w16cid:paraId="60E05F21" w16cid:durableId="1E3966F2"/>
  <w16cid:commentId w16cid:paraId="2107A0FE" w16cid:durableId="1E3966E5"/>
  <w16cid:commentId w16cid:paraId="59C0FCC5" w16cid:durableId="1E396732"/>
  <w16cid:commentId w16cid:paraId="06573436" w16cid:durableId="1E396765"/>
  <w16cid:commentId w16cid:paraId="611D20CA" w16cid:durableId="1E396777"/>
  <w16cid:commentId w16cid:paraId="7DA09D85" w16cid:durableId="1E39686A"/>
  <w16cid:commentId w16cid:paraId="3722DEE8" w16cid:durableId="1E39689C"/>
  <w16cid:commentId w16cid:paraId="09235192" w16cid:durableId="1E39690C"/>
  <w16cid:commentId w16cid:paraId="6C268D5B" w16cid:durableId="1E3969BB"/>
  <w16cid:commentId w16cid:paraId="18A5EF41" w16cid:durableId="1E3969EA"/>
  <w16cid:commentId w16cid:paraId="033DB222" w16cid:durableId="1E396A63"/>
  <w16cid:commentId w16cid:paraId="28F687C3" w16cid:durableId="1E396A50"/>
  <w16cid:commentId w16cid:paraId="5C6560B9" w16cid:durableId="1E396B15"/>
  <w16cid:commentId w16cid:paraId="389DC5E4" w16cid:durableId="1E396B42"/>
  <w16cid:commentId w16cid:paraId="2C442198" w16cid:durableId="1E396B8E"/>
  <w16cid:commentId w16cid:paraId="4F02E3DE" w16cid:durableId="1E396BA1"/>
  <w16cid:commentId w16cid:paraId="03CF9E45" w16cid:durableId="1E396AC8"/>
  <w16cid:commentId w16cid:paraId="48BEA618" w16cid:durableId="1E396E5B"/>
  <w16cid:commentId w16cid:paraId="4E858D3D" w16cid:durableId="1E396DBA"/>
  <w16cid:commentId w16cid:paraId="392FB256" w16cid:durableId="1E396F86"/>
  <w16cid:commentId w16cid:paraId="078DB4B8" w16cid:durableId="1E3970B3"/>
  <w16cid:commentId w16cid:paraId="3D000A7D" w16cid:durableId="1E3970DA"/>
  <w16cid:commentId w16cid:paraId="6E80FA93" w16cid:durableId="1E39725A"/>
  <w16cid:commentId w16cid:paraId="570EA67C" w16cid:durableId="1E3971A6"/>
  <w16cid:commentId w16cid:paraId="54B89DB2" w16cid:durableId="1E397285"/>
  <w16cid:commentId w16cid:paraId="5DA81DA5" w16cid:durableId="1E397298"/>
  <w16cid:commentId w16cid:paraId="06CB3E4E" w16cid:durableId="1E39744C"/>
  <w16cid:commentId w16cid:paraId="0DE4149A" w16cid:durableId="1E397491"/>
  <w16cid:commentId w16cid:paraId="05FAFD30" w16cid:durableId="1E3974DB"/>
  <w16cid:commentId w16cid:paraId="1EF4C537" w16cid:durableId="1E3975F2"/>
  <w16cid:commentId w16cid:paraId="44AABD2D" w16cid:durableId="1E39763C"/>
  <w16cid:commentId w16cid:paraId="7472ACE4" w16cid:durableId="1E397762"/>
  <w16cid:commentId w16cid:paraId="6B9D9767" w16cid:durableId="1E39797E"/>
  <w16cid:commentId w16cid:paraId="37C0DE59" w16cid:durableId="1E3979AC"/>
  <w16cid:commentId w16cid:paraId="09673196" w16cid:durableId="1E397A24"/>
  <w16cid:commentId w16cid:paraId="5694889B" w16cid:durableId="1E397B4C"/>
  <w16cid:commentId w16cid:paraId="1F92D66F" w16cid:durableId="1E397B51"/>
  <w16cid:commentId w16cid:paraId="5EE306F0" w16cid:durableId="1E397B6E"/>
  <w16cid:commentId w16cid:paraId="29385B98" w16cid:durableId="1E397B82"/>
  <w16cid:commentId w16cid:paraId="4C99EBB1" w16cid:durableId="1E397C10"/>
  <w16cid:commentId w16cid:paraId="2CE7510A" w16cid:durableId="1E397C24"/>
  <w16cid:commentId w16cid:paraId="6566FAC7" w16cid:durableId="1E397C1C"/>
  <w16cid:commentId w16cid:paraId="150863E2" w16cid:durableId="1E397C6B"/>
  <w16cid:commentId w16cid:paraId="166FF1FC" w16cid:durableId="1E397CAF"/>
  <w16cid:commentId w16cid:paraId="7D7FDB1E" w16cid:durableId="1E397D0D"/>
  <w16cid:commentId w16cid:paraId="69BC1FB6" w16cid:durableId="1E397D1C"/>
  <w16cid:commentId w16cid:paraId="03093816" w16cid:durableId="1E397D4C"/>
  <w16cid:commentId w16cid:paraId="46FF43A4" w16cid:durableId="1E397D72"/>
  <w16cid:commentId w16cid:paraId="55F56061" w16cid:durableId="1E398450"/>
  <w16cid:commentId w16cid:paraId="033E15BC" w16cid:durableId="1E398487"/>
  <w16cid:commentId w16cid:paraId="2A28EB57" w16cid:durableId="1E3984BB"/>
  <w16cid:commentId w16cid:paraId="0255F0DE" w16cid:durableId="1E3984F1"/>
  <w16cid:commentId w16cid:paraId="69B58DE2" w16cid:durableId="1E398557"/>
  <w16cid:commentId w16cid:paraId="44130222" w16cid:durableId="1E39856B"/>
  <w16cid:commentId w16cid:paraId="35EE9186" w16cid:durableId="1E398628"/>
  <w16cid:commentId w16cid:paraId="5EE91229" w16cid:durableId="1E3985B3"/>
  <w16cid:commentId w16cid:paraId="1AA7D2DF" w16cid:durableId="1E3985A2"/>
  <w16cid:commentId w16cid:paraId="2258E7A8" w16cid:durableId="1E39865E"/>
  <w16cid:commentId w16cid:paraId="7DC895A7" w16cid:durableId="1E39868D"/>
  <w16cid:commentId w16cid:paraId="660BABBA" w16cid:durableId="1E3986B9"/>
  <w16cid:commentId w16cid:paraId="6B805877" w16cid:durableId="1E3986CF"/>
  <w16cid:commentId w16cid:paraId="695CD250" w16cid:durableId="1E2FF4C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068BAA" w14:textId="77777777" w:rsidR="003276F2" w:rsidRDefault="003276F2" w:rsidP="00E972D8">
      <w:pPr>
        <w:spacing w:after="0" w:line="240" w:lineRule="auto"/>
      </w:pPr>
      <w:r>
        <w:separator/>
      </w:r>
    </w:p>
  </w:endnote>
  <w:endnote w:type="continuationSeparator" w:id="0">
    <w:p w14:paraId="7193F8C6" w14:textId="77777777" w:rsidR="003276F2" w:rsidRDefault="003276F2" w:rsidP="00E97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9453293"/>
      <w:docPartObj>
        <w:docPartGallery w:val="Page Numbers (Bottom of Page)"/>
        <w:docPartUnique/>
      </w:docPartObj>
    </w:sdtPr>
    <w:sdtContent>
      <w:p w14:paraId="364D8D79" w14:textId="77777777" w:rsidR="00ED4138" w:rsidRDefault="00ED4138">
        <w:pPr>
          <w:pStyle w:val="ab"/>
          <w:jc w:val="center"/>
        </w:pPr>
        <w:r>
          <w:fldChar w:fldCharType="begin"/>
        </w:r>
        <w:r>
          <w:instrText>PAGE   \* MERGEFORMAT</w:instrText>
        </w:r>
        <w:r>
          <w:fldChar w:fldCharType="separate"/>
        </w:r>
        <w:r w:rsidR="00AB0968">
          <w:rPr>
            <w:noProof/>
          </w:rPr>
          <w:t>34</w:t>
        </w:r>
        <w:r>
          <w:fldChar w:fldCharType="end"/>
        </w:r>
      </w:p>
    </w:sdtContent>
  </w:sdt>
  <w:p w14:paraId="5839292E" w14:textId="77777777" w:rsidR="00ED4138" w:rsidRDefault="00ED4138" w:rsidP="00EF1276">
    <w:pPr>
      <w:pStyle w:val="ab"/>
      <w:rPr>
        <w:sz w:val="20"/>
        <w:lang w:val="en-US"/>
      </w:rPr>
    </w:pPr>
    <w:r>
      <w:rPr>
        <w:sz w:val="20"/>
        <w:lang w:val="en-US"/>
      </w:rPr>
      <w:t xml:space="preserve">Contact: </w:t>
    </w:r>
    <w:hyperlink r:id="rId1" w:history="1">
      <w:r w:rsidRPr="00D17177">
        <w:rPr>
          <w:rStyle w:val="a3"/>
          <w:sz w:val="20"/>
          <w:lang w:val="en-US"/>
        </w:rPr>
        <w:t>galenovich@ipci.io</w:t>
      </w:r>
    </w:hyperlink>
    <w:r>
      <w:rPr>
        <w:sz w:val="20"/>
        <w:lang w:val="en-US"/>
      </w:rPr>
      <w:t xml:space="preserve"> </w:t>
    </w:r>
  </w:p>
  <w:p w14:paraId="23EDBBD4" w14:textId="166C72A7" w:rsidR="00ED4138" w:rsidRPr="006740F6" w:rsidRDefault="00ED4138" w:rsidP="00EF1276">
    <w:pPr>
      <w:pStyle w:val="ab"/>
      <w:rPr>
        <w:bCs/>
        <w:sz w:val="20"/>
        <w:lang w:val="en-US"/>
      </w:rPr>
    </w:pPr>
    <w:r w:rsidRPr="006740F6">
      <w:rPr>
        <w:bCs/>
        <w:sz w:val="20"/>
        <w:lang w:val="en-US"/>
      </w:rPr>
      <w:t>© 201</w:t>
    </w:r>
    <w:r>
      <w:rPr>
        <w:bCs/>
        <w:sz w:val="20"/>
        <w:lang w:val="en-US"/>
      </w:rPr>
      <w:t>8</w:t>
    </w:r>
    <w:r w:rsidRPr="006740F6">
      <w:rPr>
        <w:bCs/>
        <w:sz w:val="20"/>
        <w:lang w:val="en-US"/>
      </w:rPr>
      <w:t xml:space="preserve"> DAO IPCI</w:t>
    </w:r>
  </w:p>
  <w:p w14:paraId="724B7FFD" w14:textId="77777777" w:rsidR="00ED4138" w:rsidRPr="00A83C54" w:rsidRDefault="00ED4138" w:rsidP="00A83C54">
    <w:pPr>
      <w:pStyle w:val="ab"/>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832F7" w14:textId="77777777" w:rsidR="003276F2" w:rsidRDefault="003276F2" w:rsidP="00E972D8">
      <w:pPr>
        <w:spacing w:after="0" w:line="240" w:lineRule="auto"/>
      </w:pPr>
      <w:r>
        <w:separator/>
      </w:r>
    </w:p>
  </w:footnote>
  <w:footnote w:type="continuationSeparator" w:id="0">
    <w:p w14:paraId="35B179B9" w14:textId="77777777" w:rsidR="003276F2" w:rsidRDefault="003276F2" w:rsidP="00E972D8">
      <w:pPr>
        <w:spacing w:after="0" w:line="240" w:lineRule="auto"/>
      </w:pPr>
      <w:r>
        <w:continuationSeparator/>
      </w:r>
    </w:p>
  </w:footnote>
  <w:footnote w:id="1">
    <w:p w14:paraId="61F0D974" w14:textId="57624E43" w:rsidR="00ED4138" w:rsidRPr="005D670C" w:rsidRDefault="00ED4138">
      <w:pPr>
        <w:pStyle w:val="af3"/>
        <w:rPr>
          <w:lang w:val="en-US"/>
        </w:rPr>
      </w:pPr>
      <w:r>
        <w:rPr>
          <w:rStyle w:val="af5"/>
        </w:rPr>
        <w:footnoteRef/>
      </w:r>
      <w:r w:rsidRPr="005D670C">
        <w:rPr>
          <w:lang w:val="en-US"/>
        </w:rPr>
        <w:t xml:space="preserve"> </w:t>
      </w:r>
      <w:r>
        <w:rPr>
          <w:lang w:val="en-US"/>
        </w:rPr>
        <w:t xml:space="preserve">The term in this paper is used in its’ original meaning, and not as a military euphemism </w:t>
      </w:r>
    </w:p>
  </w:footnote>
  <w:footnote w:id="2">
    <w:p w14:paraId="6E7D2DF4" w14:textId="198C7117" w:rsidR="00ED4138" w:rsidRPr="002B6652" w:rsidRDefault="00ED4138" w:rsidP="002B6652">
      <w:pPr>
        <w:pStyle w:val="af3"/>
        <w:rPr>
          <w:lang w:val="en-US"/>
        </w:rPr>
      </w:pPr>
      <w:r>
        <w:rPr>
          <w:rStyle w:val="af5"/>
        </w:rPr>
        <w:footnoteRef/>
      </w:r>
      <w:r w:rsidRPr="002B6652">
        <w:rPr>
          <w:lang w:val="en-US"/>
        </w:rPr>
        <w:t xml:space="preserve"> Human action: a treatise on econom</w:t>
      </w:r>
      <w:r>
        <w:rPr>
          <w:lang w:val="en-US"/>
        </w:rPr>
        <w:t>ics</w:t>
      </w:r>
      <w:r w:rsidRPr="002B6652">
        <w:rPr>
          <w:lang w:val="en-US"/>
        </w:rPr>
        <w:t xml:space="preserve"> / by Ludwig von Mises, 4</w:t>
      </w:r>
      <w:r w:rsidRPr="002B6652">
        <w:rPr>
          <w:vertAlign w:val="superscript"/>
          <w:lang w:val="en-US"/>
        </w:rPr>
        <w:t>th</w:t>
      </w:r>
      <w:r w:rsidRPr="002B6652">
        <w:rPr>
          <w:lang w:val="en-US"/>
        </w:rPr>
        <w:t xml:space="preserve"> rev. ed., San-Francisco, 1996, p. 657</w:t>
      </w:r>
    </w:p>
  </w:footnote>
  <w:footnote w:id="3">
    <w:p w14:paraId="764D3E5D" w14:textId="77777777" w:rsidR="00ED4138" w:rsidRPr="00692C6A" w:rsidRDefault="00ED4138" w:rsidP="00692C6A">
      <w:pPr>
        <w:pStyle w:val="af3"/>
        <w:rPr>
          <w:lang w:val="en-US"/>
        </w:rPr>
      </w:pPr>
      <w:r>
        <w:rPr>
          <w:rStyle w:val="af5"/>
        </w:rPr>
        <w:footnoteRef/>
      </w:r>
      <w:r w:rsidRPr="00692C6A">
        <w:rPr>
          <w:lang w:val="en-US"/>
        </w:rPr>
        <w:t xml:space="preserve"> Hayek, Friedrich August (1994). The Road to Serfdom. University of Chicago Press. ISBN 978-0-226-32061-8, p.44</w:t>
      </w:r>
    </w:p>
  </w:footnote>
  <w:footnote w:id="4">
    <w:p w14:paraId="5358D29D" w14:textId="653B7619" w:rsidR="00ED4138" w:rsidRPr="002B6652" w:rsidRDefault="00ED4138" w:rsidP="002B6652">
      <w:pPr>
        <w:pStyle w:val="af3"/>
        <w:rPr>
          <w:lang w:val="en-US"/>
        </w:rPr>
      </w:pPr>
      <w:r>
        <w:rPr>
          <w:rStyle w:val="af5"/>
        </w:rPr>
        <w:footnoteRef/>
      </w:r>
      <w:r w:rsidRPr="002B6652">
        <w:rPr>
          <w:lang w:val="en-US"/>
        </w:rPr>
        <w:t xml:space="preserve"> Ronald H. Coase, “The Problem of Social Cost”, The Journal of Law &amp; Econom</w:t>
      </w:r>
      <w:r>
        <w:rPr>
          <w:lang w:val="en-US"/>
        </w:rPr>
        <w:t>ics</w:t>
      </w:r>
      <w:r w:rsidRPr="002B6652">
        <w:rPr>
          <w:lang w:val="en-US"/>
        </w:rPr>
        <w:t>, Vol. III, 1960, p. 2</w:t>
      </w:r>
    </w:p>
  </w:footnote>
  <w:footnote w:id="5">
    <w:p w14:paraId="1194BD4F" w14:textId="77777777" w:rsidR="00ED4138" w:rsidRPr="002B6652" w:rsidRDefault="00ED4138" w:rsidP="002B6652">
      <w:pPr>
        <w:pStyle w:val="af3"/>
        <w:rPr>
          <w:lang w:val="en-US"/>
        </w:rPr>
      </w:pPr>
      <w:r>
        <w:rPr>
          <w:rStyle w:val="af5"/>
        </w:rPr>
        <w:footnoteRef/>
      </w:r>
      <w:r w:rsidRPr="002B6652">
        <w:rPr>
          <w:lang w:val="en-US"/>
        </w:rPr>
        <w:t xml:space="preserve"> “</w:t>
      </w:r>
      <w:r w:rsidRPr="002B6652">
        <w:rPr>
          <w:bCs/>
          <w:lang w:val="en-US"/>
        </w:rPr>
        <w:t>What has to be decided is whether the gain from preventing the harm is greater than the loss which would be suffered elsewhere as a result of stopping the action which produces the harm”, Coase, op. cit., p. 27</w:t>
      </w:r>
    </w:p>
  </w:footnote>
  <w:footnote w:id="6">
    <w:p w14:paraId="122F453C" w14:textId="77777777" w:rsidR="00ED4138" w:rsidRPr="002B6652" w:rsidRDefault="00ED4138" w:rsidP="002B6652">
      <w:pPr>
        <w:pStyle w:val="af3"/>
        <w:rPr>
          <w:lang w:val="en-US"/>
        </w:rPr>
      </w:pPr>
      <w:r>
        <w:rPr>
          <w:rStyle w:val="af5"/>
        </w:rPr>
        <w:footnoteRef/>
      </w:r>
      <w:r w:rsidRPr="002B6652">
        <w:rPr>
          <w:bCs/>
          <w:lang w:val="en-US"/>
        </w:rPr>
        <w:t xml:space="preserve">”If factors of production are thought of as rights, it becomes easier to understand that the right to do </w:t>
      </w:r>
      <w:proofErr w:type="gramStart"/>
      <w:r w:rsidRPr="002B6652">
        <w:rPr>
          <w:bCs/>
          <w:lang w:val="en-US"/>
        </w:rPr>
        <w:t>something which has a harmful effect (such as the creation of smoke, noise, smells, etc.)</w:t>
      </w:r>
      <w:proofErr w:type="gramEnd"/>
      <w:r w:rsidRPr="002B6652">
        <w:rPr>
          <w:bCs/>
          <w:lang w:val="en-US"/>
        </w:rPr>
        <w:t xml:space="preserve"> is also a factor of production. Just as we may use a piece of land in such a way as to prevent someone else from crossing it, or parking his car, or building his house upon it, so we may use it in such a way as to deny him a view or quiet or unpolluted air. The cost of exercising a right (of using a factor of production) is always the loss which is suffered elsewhere in consequence of the exercise of that right-the inability to cross land, to park a car, to build a house, to enjoy a view, to have peace and quiet or to breathe clean air’, Coase, p. 44</w:t>
      </w:r>
    </w:p>
  </w:footnote>
  <w:footnote w:id="7">
    <w:p w14:paraId="5588A3DB" w14:textId="321D2091" w:rsidR="00ED4138" w:rsidRPr="002B6652" w:rsidRDefault="00ED4138" w:rsidP="002B6652">
      <w:pPr>
        <w:pStyle w:val="af3"/>
        <w:rPr>
          <w:lang w:val="en-US"/>
        </w:rPr>
      </w:pPr>
      <w:r>
        <w:rPr>
          <w:rStyle w:val="af5"/>
        </w:rPr>
        <w:footnoteRef/>
      </w:r>
      <w:r w:rsidRPr="002B6652">
        <w:rPr>
          <w:lang w:val="en-US"/>
        </w:rPr>
        <w:t xml:space="preserve"> “It is necessary to know whether the damaging business is liable or not for damage caused since without the establishment of this initial delimitation of rights there can be no market transactions to transfer and recombine them. But the ultimate result (which </w:t>
      </w:r>
      <w:proofErr w:type="spellStart"/>
      <w:r w:rsidRPr="002B6652">
        <w:rPr>
          <w:lang w:val="en-US"/>
        </w:rPr>
        <w:t>maximises</w:t>
      </w:r>
      <w:proofErr w:type="spellEnd"/>
      <w:r w:rsidRPr="002B6652">
        <w:rPr>
          <w:lang w:val="en-US"/>
        </w:rPr>
        <w:t xml:space="preserve"> the value of production) is independent of the legal position if the pricing system is assumed to work without cost.” (R. Coase, p. 8)</w:t>
      </w:r>
    </w:p>
  </w:footnote>
  <w:footnote w:id="8">
    <w:p w14:paraId="60BE0CF7" w14:textId="4497FA9F" w:rsidR="00ED4138" w:rsidRPr="00A13CDA" w:rsidRDefault="00ED4138">
      <w:pPr>
        <w:pStyle w:val="af3"/>
        <w:rPr>
          <w:lang w:val="en-US"/>
        </w:rPr>
      </w:pPr>
      <w:r>
        <w:rPr>
          <w:rStyle w:val="af5"/>
        </w:rPr>
        <w:footnoteRef/>
      </w:r>
      <w:r w:rsidRPr="00850162">
        <w:rPr>
          <w:lang w:val="en-US"/>
        </w:rPr>
        <w:t xml:space="preserve"> </w:t>
      </w:r>
      <w:r>
        <w:rPr>
          <w:lang w:val="en-US"/>
        </w:rPr>
        <w:t xml:space="preserve">See A. Galenovich, </w:t>
      </w:r>
      <w:r w:rsidRPr="00850162">
        <w:rPr>
          <w:lang w:val="en-US"/>
        </w:rPr>
        <w:t>"Quantization" of the environmental impact resource: " transaction-based model " of settlement of the social cost of carbon issue</w:t>
      </w:r>
      <w:r>
        <w:rPr>
          <w:lang w:val="en-US"/>
        </w:rPr>
        <w:t xml:space="preserve">, </w:t>
      </w:r>
      <w:hyperlink r:id="rId1" w:history="1">
        <w:r w:rsidRPr="006F4E37">
          <w:rPr>
            <w:rStyle w:val="a3"/>
            <w:lang w:val="en-US"/>
          </w:rPr>
          <w:t>https://goo.gl/tN16Wj</w:t>
        </w:r>
      </w:hyperlink>
      <w:r w:rsidRPr="00A13CDA">
        <w:rPr>
          <w:lang w:val="en-US"/>
        </w:rPr>
        <w:t xml:space="preserve"> </w:t>
      </w:r>
    </w:p>
  </w:footnote>
  <w:footnote w:id="9">
    <w:p w14:paraId="7602E458" w14:textId="77777777" w:rsidR="00ED4138" w:rsidRPr="002B6652" w:rsidRDefault="00ED4138" w:rsidP="002B6652">
      <w:pPr>
        <w:pStyle w:val="af3"/>
        <w:rPr>
          <w:lang w:val="en-US"/>
        </w:rPr>
      </w:pPr>
      <w:r>
        <w:rPr>
          <w:rStyle w:val="af5"/>
        </w:rPr>
        <w:footnoteRef/>
      </w:r>
      <w:r w:rsidRPr="002B6652">
        <w:rPr>
          <w:lang w:val="en-US"/>
        </w:rPr>
        <w:t xml:space="preserve"> “</w:t>
      </w:r>
      <w:r w:rsidRPr="002B6652">
        <w:rPr>
          <w:bCs/>
          <w:lang w:val="en-US"/>
        </w:rPr>
        <w:t>There is, of course, a further alternative, which is to do nothing about the problem at all. And given that the costs involved in solving the problem by regulations issued by the governmental administrative machine will often be heavy (particularly if the costs are interpreted to include all the consequences which follow from the Government engaging in this kind of activity), it will no doubt be commonly the case that the gain which would come from regulating the actions which give rise to the harmful effects will be less than the costs involved in Government regulation”, Coase, p.18</w:t>
      </w:r>
    </w:p>
  </w:footnote>
  <w:footnote w:id="10">
    <w:p w14:paraId="67FEF15D" w14:textId="77777777" w:rsidR="00ED4138" w:rsidRPr="002B6652" w:rsidRDefault="00ED4138" w:rsidP="002B6652">
      <w:pPr>
        <w:pStyle w:val="af3"/>
        <w:rPr>
          <w:lang w:val="en-US"/>
        </w:rPr>
      </w:pPr>
      <w:r>
        <w:rPr>
          <w:rStyle w:val="af5"/>
        </w:rPr>
        <w:footnoteRef/>
      </w:r>
      <w:r w:rsidRPr="002B6652">
        <w:rPr>
          <w:lang w:val="en-US"/>
        </w:rPr>
        <w:t xml:space="preserve"> “</w:t>
      </w:r>
      <w:r w:rsidRPr="002B6652">
        <w:rPr>
          <w:bCs/>
          <w:lang w:val="en-US"/>
        </w:rPr>
        <w:t xml:space="preserve">The kind of situation which economists are prone to consider as requiring corrective Government action is, in fact, often the result of Government action. Such action is </w:t>
      </w:r>
      <w:proofErr w:type="gramStart"/>
      <w:r w:rsidRPr="002B6652">
        <w:rPr>
          <w:bCs/>
          <w:lang w:val="en-US"/>
        </w:rPr>
        <w:t>not necessarily unwise</w:t>
      </w:r>
      <w:proofErr w:type="gramEnd"/>
      <w:r w:rsidRPr="002B6652">
        <w:rPr>
          <w:bCs/>
          <w:lang w:val="en-US"/>
        </w:rPr>
        <w:t>. But there is a real danger that extensive Government intervention in the economic system may lead to the protection of those responsible for harmful effects being carried too far”, Coase, p. 28</w:t>
      </w:r>
    </w:p>
  </w:footnote>
  <w:footnote w:id="11">
    <w:p w14:paraId="0049EDF6" w14:textId="77777777" w:rsidR="00ED4138" w:rsidRPr="00AD7E6F" w:rsidRDefault="00ED4138" w:rsidP="00AD7E6F">
      <w:pPr>
        <w:pStyle w:val="af3"/>
        <w:rPr>
          <w:lang w:val="en-US"/>
        </w:rPr>
      </w:pPr>
      <w:r>
        <w:rPr>
          <w:rStyle w:val="af5"/>
        </w:rPr>
        <w:footnoteRef/>
      </w:r>
      <w:r w:rsidRPr="00AD7E6F">
        <w:rPr>
          <w:lang w:val="en-US"/>
        </w:rPr>
        <w:t xml:space="preserve"> “</w:t>
      </w:r>
      <w:r w:rsidRPr="00AD7E6F">
        <w:rPr>
          <w:bCs/>
          <w:lang w:val="en-US"/>
        </w:rPr>
        <w:t>That is to say, compensation would be paid in the absence of Government action. The only circumstances in which compensation would not be paid would be those in which there had been Government action”, Coase, p. 31</w:t>
      </w:r>
    </w:p>
  </w:footnote>
  <w:footnote w:id="12">
    <w:p w14:paraId="2F3A93D1" w14:textId="77777777" w:rsidR="00ED4138" w:rsidRPr="00AD7E6F" w:rsidRDefault="00ED4138" w:rsidP="00AD7E6F">
      <w:pPr>
        <w:pStyle w:val="af3"/>
        <w:rPr>
          <w:lang w:val="en-US"/>
        </w:rPr>
      </w:pPr>
      <w:r>
        <w:rPr>
          <w:rStyle w:val="af5"/>
        </w:rPr>
        <w:footnoteRef/>
      </w:r>
      <w:r w:rsidRPr="00AD7E6F">
        <w:rPr>
          <w:lang w:val="en-US"/>
        </w:rPr>
        <w:t xml:space="preserve"> “Who can seriously doubt that the power which a millionaire, who may be my employer, has over me is very much less than that which the smallest bureaucrat possesses who wields the coercive power of the state and on whose discretion it depends how I am allowed to live and work?”, Hayek, 1994, p.41</w:t>
      </w:r>
    </w:p>
  </w:footnote>
  <w:footnote w:id="13">
    <w:p w14:paraId="75457B29" w14:textId="77777777" w:rsidR="00ED4138" w:rsidRPr="00AD7E6F" w:rsidRDefault="00ED4138" w:rsidP="00AD7E6F">
      <w:pPr>
        <w:pStyle w:val="af3"/>
        <w:rPr>
          <w:lang w:val="en-US"/>
        </w:rPr>
      </w:pPr>
      <w:r>
        <w:rPr>
          <w:rStyle w:val="af5"/>
        </w:rPr>
        <w:footnoteRef/>
      </w:r>
      <w:r w:rsidRPr="00AD7E6F">
        <w:rPr>
          <w:lang w:val="en-US"/>
        </w:rPr>
        <w:t xml:space="preserve"> Hayek, 1994, p.59</w:t>
      </w:r>
    </w:p>
  </w:footnote>
  <w:footnote w:id="14">
    <w:p w14:paraId="60BB1343" w14:textId="77777777" w:rsidR="00ED4138" w:rsidRPr="00AB65E3" w:rsidRDefault="00ED4138" w:rsidP="00AB65E3">
      <w:pPr>
        <w:pStyle w:val="af3"/>
        <w:rPr>
          <w:lang w:val="en-US"/>
        </w:rPr>
      </w:pPr>
      <w:r>
        <w:rPr>
          <w:rStyle w:val="af5"/>
        </w:rPr>
        <w:footnoteRef/>
      </w:r>
      <w:r w:rsidRPr="00AB65E3">
        <w:rPr>
          <w:lang w:val="en-US"/>
        </w:rPr>
        <w:t xml:space="preserve"> Nine Issues and Myths Regarding the Implementation of Emissions Trading By John </w:t>
      </w:r>
      <w:proofErr w:type="spellStart"/>
      <w:r w:rsidRPr="00AB65E3">
        <w:rPr>
          <w:lang w:val="en-US"/>
        </w:rPr>
        <w:t>Palmisano</w:t>
      </w:r>
      <w:proofErr w:type="spellEnd"/>
      <w:r w:rsidRPr="00AB65E3">
        <w:rPr>
          <w:lang w:val="en-US"/>
        </w:rPr>
        <w:t xml:space="preserve"> Evolution Markets LLC Washington, DC February 2002  p. 4 http://www.e5.org/downloads/ETBrussel210202/Palmisano_commentsDirectiveProposal.pdf</w:t>
      </w:r>
    </w:p>
  </w:footnote>
  <w:footnote w:id="15">
    <w:p w14:paraId="03DECD6E" w14:textId="77777777" w:rsidR="00ED4138" w:rsidRPr="00AB65E3" w:rsidRDefault="00ED4138" w:rsidP="00AB65E3">
      <w:pPr>
        <w:pStyle w:val="af3"/>
        <w:rPr>
          <w:lang w:val="en-US"/>
        </w:rPr>
      </w:pPr>
      <w:r>
        <w:rPr>
          <w:rStyle w:val="af5"/>
        </w:rPr>
        <w:footnoteRef/>
      </w:r>
      <w:r w:rsidRPr="00AB65E3">
        <w:rPr>
          <w:lang w:val="en-US"/>
        </w:rPr>
        <w:t xml:space="preserve"> Nine Issues and Myths Regarding the Implementation of Emissions Trading By John </w:t>
      </w:r>
      <w:proofErr w:type="spellStart"/>
      <w:r w:rsidRPr="00AB65E3">
        <w:rPr>
          <w:lang w:val="en-US"/>
        </w:rPr>
        <w:t>Palmisano</w:t>
      </w:r>
      <w:proofErr w:type="spellEnd"/>
      <w:r w:rsidRPr="00AB65E3">
        <w:rPr>
          <w:lang w:val="en-US"/>
        </w:rPr>
        <w:t xml:space="preserve"> Evolution Markets LLC Washington, DC February 2002  p. 4 </w:t>
      </w:r>
      <w:hyperlink r:id="rId2" w:history="1">
        <w:r w:rsidRPr="00AB65E3">
          <w:rPr>
            <w:rStyle w:val="11"/>
            <w:lang w:val="en-US"/>
          </w:rPr>
          <w:t>http://www.e5.org/downloads/ETBrussel210202/Palmisano_commentsDirectiveProposal.pdf</w:t>
        </w:r>
      </w:hyperlink>
    </w:p>
  </w:footnote>
  <w:footnote w:id="16">
    <w:p w14:paraId="157BB182" w14:textId="77777777" w:rsidR="00ED4138" w:rsidRPr="00AB65E3" w:rsidRDefault="00ED4138" w:rsidP="00AB65E3">
      <w:pPr>
        <w:pStyle w:val="af3"/>
        <w:rPr>
          <w:lang w:val="en-US"/>
        </w:rPr>
      </w:pPr>
      <w:r>
        <w:rPr>
          <w:rStyle w:val="af5"/>
        </w:rPr>
        <w:footnoteRef/>
      </w:r>
      <w:r w:rsidRPr="00AB65E3">
        <w:rPr>
          <w:lang w:val="en-US"/>
        </w:rPr>
        <w:t xml:space="preserve"> </w:t>
      </w:r>
      <w:hyperlink r:id="rId3" w:history="1">
        <w:r w:rsidRPr="00AB65E3">
          <w:rPr>
            <w:rStyle w:val="11"/>
            <w:lang w:val="en-US"/>
          </w:rPr>
          <w:t>http://www.ipcc.ch/pdf/assessment-report/ar5/wg1/WG1AR5_SPM_FINAL.pdf</w:t>
        </w:r>
      </w:hyperlink>
      <w:r w:rsidRPr="00AB65E3">
        <w:rPr>
          <w:lang w:val="en-US"/>
        </w:rPr>
        <w:t xml:space="preserve"> </w:t>
      </w:r>
    </w:p>
  </w:footnote>
  <w:footnote w:id="17">
    <w:p w14:paraId="7801DB23" w14:textId="61D38A5B" w:rsidR="00ED4138" w:rsidRPr="00977486" w:rsidRDefault="00ED4138">
      <w:pPr>
        <w:pStyle w:val="af3"/>
        <w:rPr>
          <w:lang w:val="en-US"/>
        </w:rPr>
      </w:pPr>
      <w:r>
        <w:rPr>
          <w:rStyle w:val="af5"/>
        </w:rPr>
        <w:footnoteRef/>
      </w:r>
      <w:r w:rsidRPr="00977486">
        <w:rPr>
          <w:lang w:val="en-US"/>
        </w:rPr>
        <w:t xml:space="preserve"> Up to the moment, two of the manufacturers (</w:t>
      </w:r>
      <w:proofErr w:type="spellStart"/>
      <w:r w:rsidRPr="00977486">
        <w:rPr>
          <w:lang w:val="en-US"/>
        </w:rPr>
        <w:t>KhimProm</w:t>
      </w:r>
      <w:proofErr w:type="spellEnd"/>
      <w:r w:rsidRPr="00977486">
        <w:rPr>
          <w:lang w:val="en-US"/>
        </w:rPr>
        <w:t xml:space="preserve"> and Swiss </w:t>
      </w:r>
      <w:proofErr w:type="spellStart"/>
      <w:r w:rsidRPr="00977486">
        <w:rPr>
          <w:lang w:val="en-US"/>
        </w:rPr>
        <w:t>Krono</w:t>
      </w:r>
      <w:proofErr w:type="spellEnd"/>
      <w:r w:rsidRPr="00977486">
        <w:rPr>
          <w:lang w:val="en-US"/>
        </w:rPr>
        <w:t>) and one trader (</w:t>
      </w:r>
      <w:proofErr w:type="spellStart"/>
      <w:r w:rsidRPr="00977486">
        <w:rPr>
          <w:lang w:val="en-US"/>
        </w:rPr>
        <w:t>Aera</w:t>
      </w:r>
      <w:proofErr w:type="spellEnd"/>
      <w:r w:rsidRPr="00977486">
        <w:rPr>
          <w:lang w:val="en-US"/>
        </w:rPr>
        <w:t xml:space="preserve"> Group) have issued tokens based on the GHG emission reductions assured and verified by reputable auditors. </w:t>
      </w:r>
      <w:proofErr w:type="gramStart"/>
      <w:r w:rsidRPr="00977486">
        <w:rPr>
          <w:lang w:val="en-US"/>
        </w:rPr>
        <w:t>This tokens</w:t>
      </w:r>
      <w:proofErr w:type="gramEnd"/>
      <w:r w:rsidRPr="00977486">
        <w:rPr>
          <w:lang w:val="en-US"/>
        </w:rPr>
        <w:t xml:space="preserve"> are available via DAO IPCI MITO Market for anyone to acquire and use to offset GHG emissions, carbon footprint. Pilot transaction to register transfer of tokens took place in March 2017. First market transaction for MITO </w:t>
      </w:r>
      <w:proofErr w:type="gramStart"/>
      <w:r w:rsidRPr="00977486">
        <w:rPr>
          <w:lang w:val="en-US"/>
        </w:rPr>
        <w:t>has been executed</w:t>
      </w:r>
      <w:proofErr w:type="gramEnd"/>
      <w:r w:rsidRPr="00977486">
        <w:rPr>
          <w:lang w:val="en-US"/>
        </w:rPr>
        <w:t xml:space="preserve"> in April 2018.</w:t>
      </w:r>
    </w:p>
  </w:footnote>
  <w:footnote w:id="18">
    <w:p w14:paraId="45C26242" w14:textId="654637DE" w:rsidR="00ED4138" w:rsidRPr="00543B15" w:rsidRDefault="00ED4138" w:rsidP="00543B15">
      <w:pPr>
        <w:pStyle w:val="af3"/>
        <w:rPr>
          <w:i/>
          <w:lang w:val="en-US"/>
        </w:rPr>
      </w:pPr>
      <w:r>
        <w:rPr>
          <w:rStyle w:val="af5"/>
        </w:rPr>
        <w:footnoteRef/>
      </w:r>
      <w:r w:rsidRPr="00543B15">
        <w:rPr>
          <w:lang w:val="en-US"/>
        </w:rPr>
        <w:t xml:space="preserve"> DAO IPCI team developed and tested a prototype scheme and smart-contracts f</w:t>
      </w:r>
      <w:r>
        <w:rPr>
          <w:lang w:val="en-US"/>
        </w:rPr>
        <w:t>or the project in Chile (</w:t>
      </w:r>
      <w:proofErr w:type="spellStart"/>
      <w:r>
        <w:rPr>
          <w:lang w:val="en-US"/>
        </w:rPr>
        <w:t>EnergyL</w:t>
      </w:r>
      <w:r w:rsidRPr="00543B15">
        <w:rPr>
          <w:lang w:val="en-US"/>
        </w:rPr>
        <w:t>ab</w:t>
      </w:r>
      <w:proofErr w:type="spellEnd"/>
      <w:r w:rsidRPr="00543B15">
        <w:rPr>
          <w:lang w:val="en-US"/>
        </w:rPr>
        <w:t>) to issue carbon credits based on renewable energy micro generation and incentivize the households.</w:t>
      </w:r>
      <w:r w:rsidRPr="00543B15">
        <w:rPr>
          <w:i/>
          <w:lang w:val="en-US"/>
        </w:rPr>
        <w:t xml:space="preserve"> </w:t>
      </w:r>
    </w:p>
    <w:p w14:paraId="1736E5CE" w14:textId="1194F9C4" w:rsidR="00ED4138" w:rsidRPr="00543B15" w:rsidRDefault="00ED4138">
      <w:pPr>
        <w:pStyle w:val="af3"/>
        <w:rPr>
          <w:lang w:val="en-US"/>
        </w:rPr>
      </w:pPr>
    </w:p>
  </w:footnote>
  <w:footnote w:id="19">
    <w:p w14:paraId="475B09B2" w14:textId="77777777" w:rsidR="00ED4138" w:rsidRPr="00A47F0C" w:rsidRDefault="00ED4138" w:rsidP="00067B4D">
      <w:pPr>
        <w:pStyle w:val="af3"/>
        <w:rPr>
          <w:lang w:val="en-US"/>
        </w:rPr>
      </w:pPr>
      <w:r>
        <w:rPr>
          <w:rStyle w:val="af5"/>
        </w:rPr>
        <w:footnoteRef/>
      </w:r>
      <w:r w:rsidRPr="00A47F0C">
        <w:rPr>
          <w:lang w:val="en-US"/>
        </w:rPr>
        <w:t xml:space="preserve"> </w:t>
      </w:r>
      <w:r>
        <w:rPr>
          <w:lang w:val="en-US"/>
        </w:rPr>
        <w:t>See</w:t>
      </w:r>
      <w:r w:rsidRPr="00A47F0C">
        <w:rPr>
          <w:lang w:val="en-US"/>
        </w:rPr>
        <w:t xml:space="preserve"> </w:t>
      </w:r>
      <w:proofErr w:type="spellStart"/>
      <w:r w:rsidRPr="00A47F0C">
        <w:rPr>
          <w:lang w:val="en-US"/>
        </w:rPr>
        <w:t>Robonomics</w:t>
      </w:r>
      <w:proofErr w:type="spellEnd"/>
      <w:r w:rsidRPr="00A47F0C">
        <w:rPr>
          <w:lang w:val="en-US"/>
        </w:rPr>
        <w:t xml:space="preserve"> platform by </w:t>
      </w:r>
      <w:proofErr w:type="spellStart"/>
      <w:r w:rsidRPr="00A47F0C">
        <w:rPr>
          <w:lang w:val="en-US"/>
        </w:rPr>
        <w:t>Airalab</w:t>
      </w:r>
      <w:proofErr w:type="spellEnd"/>
      <w:r>
        <w:rPr>
          <w:lang w:val="en-US"/>
        </w:rPr>
        <w:t xml:space="preserve"> at </w:t>
      </w:r>
      <w:hyperlink r:id="rId4" w:history="1">
        <w:r w:rsidRPr="0033056A">
          <w:rPr>
            <w:rStyle w:val="a3"/>
            <w:lang w:val="en-US"/>
          </w:rPr>
          <w:t>https://github.com/airalab</w:t>
        </w:r>
      </w:hyperlink>
      <w:r>
        <w:rPr>
          <w:lang w:val="en-US"/>
        </w:rPr>
        <w:t xml:space="preserve"> </w:t>
      </w:r>
    </w:p>
  </w:footnote>
  <w:footnote w:id="20">
    <w:p w14:paraId="7B648B95" w14:textId="792809B0" w:rsidR="00ED4138" w:rsidRPr="005F1E9E" w:rsidRDefault="00ED4138">
      <w:pPr>
        <w:pStyle w:val="af3"/>
        <w:rPr>
          <w:lang w:val="en-US"/>
        </w:rPr>
      </w:pPr>
      <w:r>
        <w:rPr>
          <w:rStyle w:val="af5"/>
        </w:rPr>
        <w:footnoteRef/>
      </w:r>
      <w:r w:rsidRPr="005F1E9E">
        <w:rPr>
          <w:lang w:val="en-US"/>
        </w:rPr>
        <w:t xml:space="preserve"> </w:t>
      </w:r>
      <w:hyperlink r:id="rId5" w:history="1">
        <w:r w:rsidRPr="00CD1988">
          <w:rPr>
            <w:rStyle w:val="a3"/>
            <w:lang w:val="en-US"/>
          </w:rPr>
          <w:t>https://medium.com/@antongalenovich/tokenizing-claims-for-environmental-damages-another-use-case-for-dao-ipci-security-deposit-3868c1e800b</w:t>
        </w:r>
      </w:hyperlink>
      <w:r>
        <w:rPr>
          <w:lang w:val="en-US"/>
        </w:rPr>
        <w:t xml:space="preserve"> </w:t>
      </w:r>
    </w:p>
  </w:footnote>
  <w:footnote w:id="21">
    <w:p w14:paraId="46AC6015" w14:textId="77777777" w:rsidR="00ED4138" w:rsidRPr="007B31B2" w:rsidRDefault="00ED4138" w:rsidP="007B31B2">
      <w:pPr>
        <w:pStyle w:val="af3"/>
        <w:rPr>
          <w:lang w:val="en-US"/>
        </w:rPr>
      </w:pPr>
      <w:r>
        <w:rPr>
          <w:rStyle w:val="af5"/>
        </w:rPr>
        <w:footnoteRef/>
      </w:r>
      <w:r w:rsidRPr="007B31B2">
        <w:rPr>
          <w:lang w:val="en-US"/>
        </w:rPr>
        <w:t xml:space="preserve"> See Friedrich Hayek, Denationalization of Money, Institute of Economic Affairs, 1976</w:t>
      </w:r>
    </w:p>
  </w:footnote>
  <w:footnote w:id="22">
    <w:p w14:paraId="477AF88A" w14:textId="2B8BC0FE" w:rsidR="00ED4138" w:rsidRPr="00A822EB" w:rsidRDefault="00ED4138" w:rsidP="00A822EB">
      <w:pPr>
        <w:pStyle w:val="af3"/>
        <w:rPr>
          <w:lang w:val="en-US"/>
        </w:rPr>
      </w:pPr>
      <w:r>
        <w:rPr>
          <w:rStyle w:val="af5"/>
        </w:rPr>
        <w:footnoteRef/>
      </w:r>
      <w:r w:rsidRPr="00A822EB">
        <w:rPr>
          <w:lang w:val="en-US"/>
        </w:rPr>
        <w:t>Human action: a treatise on econom</w:t>
      </w:r>
      <w:r>
        <w:rPr>
          <w:lang w:val="en-US"/>
        </w:rPr>
        <w:t>ics</w:t>
      </w:r>
      <w:r w:rsidRPr="00A822EB">
        <w:rPr>
          <w:lang w:val="en-US"/>
        </w:rPr>
        <w:t xml:space="preserve"> / by Ludwig von Mises, 4</w:t>
      </w:r>
      <w:r w:rsidRPr="00A822EB">
        <w:rPr>
          <w:vertAlign w:val="superscript"/>
          <w:lang w:val="en-US"/>
        </w:rPr>
        <w:t>th</w:t>
      </w:r>
      <w:r w:rsidRPr="00A822EB">
        <w:rPr>
          <w:lang w:val="en-US"/>
        </w:rPr>
        <w:t xml:space="preserve"> rev. ed., San-Francisco, 1996, p. 258 </w:t>
      </w:r>
    </w:p>
  </w:footnote>
  <w:footnote w:id="23">
    <w:p w14:paraId="455572B6" w14:textId="77777777" w:rsidR="00ED4138" w:rsidRPr="00F65F87" w:rsidRDefault="00ED4138">
      <w:pPr>
        <w:pStyle w:val="af3"/>
        <w:rPr>
          <w:lang w:val="en-US"/>
        </w:rPr>
      </w:pPr>
      <w:r>
        <w:rPr>
          <w:rStyle w:val="af5"/>
        </w:rPr>
        <w:footnoteRef/>
      </w:r>
      <w:r w:rsidRPr="00F65F87">
        <w:rPr>
          <w:lang w:val="en-US"/>
        </w:rPr>
        <w:t xml:space="preserve"> For more details, information on procedures, terms, rates and manuals please see the “Manuals” and “Basic Terms and Rates” at </w:t>
      </w:r>
      <w:r w:rsidRPr="0092475D">
        <w:rPr>
          <w:rStyle w:val="a3"/>
          <w:lang w:val="en-US"/>
        </w:rPr>
        <w:t>http://ipci.</w:t>
      </w:r>
      <w:r>
        <w:rPr>
          <w:rStyle w:val="a3"/>
          <w:lang w:val="en-US"/>
        </w:rPr>
        <w:t>io</w:t>
      </w:r>
      <w:r w:rsidRPr="00F65F87">
        <w:rPr>
          <w:lang w:val="en-US"/>
        </w:rPr>
        <w:t xml:space="preserve"> </w:t>
      </w:r>
    </w:p>
  </w:footnote>
  <w:footnote w:id="24">
    <w:p w14:paraId="7A1E8994" w14:textId="77777777" w:rsidR="00ED4138" w:rsidRPr="00307968" w:rsidRDefault="00ED4138" w:rsidP="00363809">
      <w:pPr>
        <w:pStyle w:val="af3"/>
        <w:rPr>
          <w:lang w:val="en-US"/>
        </w:rPr>
      </w:pPr>
      <w:r>
        <w:rPr>
          <w:rStyle w:val="af5"/>
        </w:rPr>
        <w:footnoteRef/>
      </w:r>
      <w:r w:rsidRPr="00307968">
        <w:rPr>
          <w:lang w:val="en-US"/>
        </w:rPr>
        <w:t xml:space="preserve"> Module under development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485451" w14:textId="7AA38DF5" w:rsidR="00ED4138" w:rsidRPr="002B6652" w:rsidRDefault="00ED4138" w:rsidP="00275AAE">
    <w:pPr>
      <w:pStyle w:val="a9"/>
      <w:jc w:val="right"/>
      <w:rPr>
        <w:lang w:val="en-US"/>
      </w:rPr>
    </w:pPr>
    <w:r>
      <w:rPr>
        <w:lang w:val="en-US"/>
      </w:rPr>
      <w:t xml:space="preserve"> DRAFT 5.0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41720" w14:textId="74595C50" w:rsidR="00ED4138" w:rsidRPr="0037515F" w:rsidRDefault="00ED4138" w:rsidP="0037515F">
    <w:pPr>
      <w:pStyle w:val="a9"/>
      <w:jc w:val="right"/>
      <w:rPr>
        <w:lang w:val="en-US"/>
      </w:rPr>
    </w:pPr>
    <w:r>
      <w:rPr>
        <w:lang w:val="en-US"/>
      </w:rPr>
      <w:t>DRAFT 5.0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7E8D4B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CD6021"/>
    <w:multiLevelType w:val="hybridMultilevel"/>
    <w:tmpl w:val="1E74CD44"/>
    <w:lvl w:ilvl="0" w:tplc="3D4C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863ABB"/>
    <w:multiLevelType w:val="hybridMultilevel"/>
    <w:tmpl w:val="BCE87F14"/>
    <w:lvl w:ilvl="0" w:tplc="3D4C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F5609A"/>
    <w:multiLevelType w:val="hybridMultilevel"/>
    <w:tmpl w:val="8BE07A9C"/>
    <w:lvl w:ilvl="0" w:tplc="3D4C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565BC9"/>
    <w:multiLevelType w:val="hybridMultilevel"/>
    <w:tmpl w:val="10BC3D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E77A6"/>
    <w:multiLevelType w:val="hybridMultilevel"/>
    <w:tmpl w:val="B9AEF7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0FA7396"/>
    <w:multiLevelType w:val="hybridMultilevel"/>
    <w:tmpl w:val="4474663E"/>
    <w:lvl w:ilvl="0" w:tplc="D18EB700">
      <w:start w:val="1"/>
      <w:numFmt w:val="bullet"/>
      <w:lvlText w:val="•"/>
      <w:lvlJc w:val="left"/>
      <w:pPr>
        <w:tabs>
          <w:tab w:val="num" w:pos="720"/>
        </w:tabs>
        <w:ind w:left="720" w:hanging="360"/>
      </w:pPr>
      <w:rPr>
        <w:rFonts w:ascii="Arial" w:hAnsi="Arial" w:hint="default"/>
      </w:rPr>
    </w:lvl>
    <w:lvl w:ilvl="1" w:tplc="F79EFEB6">
      <w:start w:val="124"/>
      <w:numFmt w:val="bullet"/>
      <w:lvlText w:val="•"/>
      <w:lvlJc w:val="left"/>
      <w:pPr>
        <w:tabs>
          <w:tab w:val="num" w:pos="1440"/>
        </w:tabs>
        <w:ind w:left="1440" w:hanging="360"/>
      </w:pPr>
      <w:rPr>
        <w:rFonts w:ascii="Arial" w:hAnsi="Arial" w:hint="default"/>
      </w:rPr>
    </w:lvl>
    <w:lvl w:ilvl="2" w:tplc="5ADC305A" w:tentative="1">
      <w:start w:val="1"/>
      <w:numFmt w:val="bullet"/>
      <w:lvlText w:val="•"/>
      <w:lvlJc w:val="left"/>
      <w:pPr>
        <w:tabs>
          <w:tab w:val="num" w:pos="2160"/>
        </w:tabs>
        <w:ind w:left="2160" w:hanging="360"/>
      </w:pPr>
      <w:rPr>
        <w:rFonts w:ascii="Arial" w:hAnsi="Arial" w:hint="default"/>
      </w:rPr>
    </w:lvl>
    <w:lvl w:ilvl="3" w:tplc="3A8C8798" w:tentative="1">
      <w:start w:val="1"/>
      <w:numFmt w:val="bullet"/>
      <w:lvlText w:val="•"/>
      <w:lvlJc w:val="left"/>
      <w:pPr>
        <w:tabs>
          <w:tab w:val="num" w:pos="2880"/>
        </w:tabs>
        <w:ind w:left="2880" w:hanging="360"/>
      </w:pPr>
      <w:rPr>
        <w:rFonts w:ascii="Arial" w:hAnsi="Arial" w:hint="default"/>
      </w:rPr>
    </w:lvl>
    <w:lvl w:ilvl="4" w:tplc="61EE689A" w:tentative="1">
      <w:start w:val="1"/>
      <w:numFmt w:val="bullet"/>
      <w:lvlText w:val="•"/>
      <w:lvlJc w:val="left"/>
      <w:pPr>
        <w:tabs>
          <w:tab w:val="num" w:pos="3600"/>
        </w:tabs>
        <w:ind w:left="3600" w:hanging="360"/>
      </w:pPr>
      <w:rPr>
        <w:rFonts w:ascii="Arial" w:hAnsi="Arial" w:hint="default"/>
      </w:rPr>
    </w:lvl>
    <w:lvl w:ilvl="5" w:tplc="42A62A12" w:tentative="1">
      <w:start w:val="1"/>
      <w:numFmt w:val="bullet"/>
      <w:lvlText w:val="•"/>
      <w:lvlJc w:val="left"/>
      <w:pPr>
        <w:tabs>
          <w:tab w:val="num" w:pos="4320"/>
        </w:tabs>
        <w:ind w:left="4320" w:hanging="360"/>
      </w:pPr>
      <w:rPr>
        <w:rFonts w:ascii="Arial" w:hAnsi="Arial" w:hint="default"/>
      </w:rPr>
    </w:lvl>
    <w:lvl w:ilvl="6" w:tplc="3D544600" w:tentative="1">
      <w:start w:val="1"/>
      <w:numFmt w:val="bullet"/>
      <w:lvlText w:val="•"/>
      <w:lvlJc w:val="left"/>
      <w:pPr>
        <w:tabs>
          <w:tab w:val="num" w:pos="5040"/>
        </w:tabs>
        <w:ind w:left="5040" w:hanging="360"/>
      </w:pPr>
      <w:rPr>
        <w:rFonts w:ascii="Arial" w:hAnsi="Arial" w:hint="default"/>
      </w:rPr>
    </w:lvl>
    <w:lvl w:ilvl="7" w:tplc="D20817CC" w:tentative="1">
      <w:start w:val="1"/>
      <w:numFmt w:val="bullet"/>
      <w:lvlText w:val="•"/>
      <w:lvlJc w:val="left"/>
      <w:pPr>
        <w:tabs>
          <w:tab w:val="num" w:pos="5760"/>
        </w:tabs>
        <w:ind w:left="5760" w:hanging="360"/>
      </w:pPr>
      <w:rPr>
        <w:rFonts w:ascii="Arial" w:hAnsi="Arial" w:hint="default"/>
      </w:rPr>
    </w:lvl>
    <w:lvl w:ilvl="8" w:tplc="3D9ACF6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900623"/>
    <w:multiLevelType w:val="hybridMultilevel"/>
    <w:tmpl w:val="5CF22F14"/>
    <w:lvl w:ilvl="0" w:tplc="9B58F746">
      <w:start w:val="1"/>
      <w:numFmt w:val="bullet"/>
      <w:lvlText w:val=""/>
      <w:lvlJc w:val="left"/>
      <w:pPr>
        <w:tabs>
          <w:tab w:val="num" w:pos="720"/>
        </w:tabs>
        <w:ind w:left="720" w:hanging="360"/>
      </w:pPr>
      <w:rPr>
        <w:rFonts w:ascii="Wingdings" w:hAnsi="Wingdings" w:hint="default"/>
      </w:rPr>
    </w:lvl>
    <w:lvl w:ilvl="1" w:tplc="C12C3B36" w:tentative="1">
      <w:start w:val="1"/>
      <w:numFmt w:val="bullet"/>
      <w:lvlText w:val=""/>
      <w:lvlJc w:val="left"/>
      <w:pPr>
        <w:tabs>
          <w:tab w:val="num" w:pos="1440"/>
        </w:tabs>
        <w:ind w:left="1440" w:hanging="360"/>
      </w:pPr>
      <w:rPr>
        <w:rFonts w:ascii="Wingdings" w:hAnsi="Wingdings" w:hint="default"/>
      </w:rPr>
    </w:lvl>
    <w:lvl w:ilvl="2" w:tplc="F4E22E74" w:tentative="1">
      <w:start w:val="1"/>
      <w:numFmt w:val="bullet"/>
      <w:lvlText w:val=""/>
      <w:lvlJc w:val="left"/>
      <w:pPr>
        <w:tabs>
          <w:tab w:val="num" w:pos="2160"/>
        </w:tabs>
        <w:ind w:left="2160" w:hanging="360"/>
      </w:pPr>
      <w:rPr>
        <w:rFonts w:ascii="Wingdings" w:hAnsi="Wingdings" w:hint="default"/>
      </w:rPr>
    </w:lvl>
    <w:lvl w:ilvl="3" w:tplc="6CBA9F52" w:tentative="1">
      <w:start w:val="1"/>
      <w:numFmt w:val="bullet"/>
      <w:lvlText w:val=""/>
      <w:lvlJc w:val="left"/>
      <w:pPr>
        <w:tabs>
          <w:tab w:val="num" w:pos="2880"/>
        </w:tabs>
        <w:ind w:left="2880" w:hanging="360"/>
      </w:pPr>
      <w:rPr>
        <w:rFonts w:ascii="Wingdings" w:hAnsi="Wingdings" w:hint="default"/>
      </w:rPr>
    </w:lvl>
    <w:lvl w:ilvl="4" w:tplc="A5428666" w:tentative="1">
      <w:start w:val="1"/>
      <w:numFmt w:val="bullet"/>
      <w:lvlText w:val=""/>
      <w:lvlJc w:val="left"/>
      <w:pPr>
        <w:tabs>
          <w:tab w:val="num" w:pos="3600"/>
        </w:tabs>
        <w:ind w:left="3600" w:hanging="360"/>
      </w:pPr>
      <w:rPr>
        <w:rFonts w:ascii="Wingdings" w:hAnsi="Wingdings" w:hint="default"/>
      </w:rPr>
    </w:lvl>
    <w:lvl w:ilvl="5" w:tplc="6CF44CE4" w:tentative="1">
      <w:start w:val="1"/>
      <w:numFmt w:val="bullet"/>
      <w:lvlText w:val=""/>
      <w:lvlJc w:val="left"/>
      <w:pPr>
        <w:tabs>
          <w:tab w:val="num" w:pos="4320"/>
        </w:tabs>
        <w:ind w:left="4320" w:hanging="360"/>
      </w:pPr>
      <w:rPr>
        <w:rFonts w:ascii="Wingdings" w:hAnsi="Wingdings" w:hint="default"/>
      </w:rPr>
    </w:lvl>
    <w:lvl w:ilvl="6" w:tplc="5A4C6F74" w:tentative="1">
      <w:start w:val="1"/>
      <w:numFmt w:val="bullet"/>
      <w:lvlText w:val=""/>
      <w:lvlJc w:val="left"/>
      <w:pPr>
        <w:tabs>
          <w:tab w:val="num" w:pos="5040"/>
        </w:tabs>
        <w:ind w:left="5040" w:hanging="360"/>
      </w:pPr>
      <w:rPr>
        <w:rFonts w:ascii="Wingdings" w:hAnsi="Wingdings" w:hint="default"/>
      </w:rPr>
    </w:lvl>
    <w:lvl w:ilvl="7" w:tplc="3342D5F2" w:tentative="1">
      <w:start w:val="1"/>
      <w:numFmt w:val="bullet"/>
      <w:lvlText w:val=""/>
      <w:lvlJc w:val="left"/>
      <w:pPr>
        <w:tabs>
          <w:tab w:val="num" w:pos="5760"/>
        </w:tabs>
        <w:ind w:left="5760" w:hanging="360"/>
      </w:pPr>
      <w:rPr>
        <w:rFonts w:ascii="Wingdings" w:hAnsi="Wingdings" w:hint="default"/>
      </w:rPr>
    </w:lvl>
    <w:lvl w:ilvl="8" w:tplc="4A26243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0A21BF"/>
    <w:multiLevelType w:val="hybridMultilevel"/>
    <w:tmpl w:val="BD9CBE56"/>
    <w:lvl w:ilvl="0" w:tplc="3D4C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7E5F73"/>
    <w:multiLevelType w:val="multilevel"/>
    <w:tmpl w:val="FD44B3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F811B5"/>
    <w:multiLevelType w:val="hybridMultilevel"/>
    <w:tmpl w:val="0780089C"/>
    <w:lvl w:ilvl="0" w:tplc="3D4C189C">
      <w:start w:val="1"/>
      <w:numFmt w:val="bullet"/>
      <w:lvlText w:val=""/>
      <w:lvlJc w:val="left"/>
      <w:pPr>
        <w:tabs>
          <w:tab w:val="num" w:pos="720"/>
        </w:tabs>
        <w:ind w:left="720" w:hanging="360"/>
      </w:pPr>
      <w:rPr>
        <w:rFonts w:ascii="Symbol" w:hAnsi="Symbol" w:hint="default"/>
      </w:rPr>
    </w:lvl>
    <w:lvl w:ilvl="1" w:tplc="89A04670" w:tentative="1">
      <w:start w:val="1"/>
      <w:numFmt w:val="bullet"/>
      <w:lvlText w:val="•"/>
      <w:lvlJc w:val="left"/>
      <w:pPr>
        <w:tabs>
          <w:tab w:val="num" w:pos="1440"/>
        </w:tabs>
        <w:ind w:left="1440" w:hanging="360"/>
      </w:pPr>
      <w:rPr>
        <w:rFonts w:ascii="Times New Roman" w:hAnsi="Times New Roman" w:hint="default"/>
      </w:rPr>
    </w:lvl>
    <w:lvl w:ilvl="2" w:tplc="909AE3C2" w:tentative="1">
      <w:start w:val="1"/>
      <w:numFmt w:val="bullet"/>
      <w:lvlText w:val="•"/>
      <w:lvlJc w:val="left"/>
      <w:pPr>
        <w:tabs>
          <w:tab w:val="num" w:pos="2160"/>
        </w:tabs>
        <w:ind w:left="2160" w:hanging="360"/>
      </w:pPr>
      <w:rPr>
        <w:rFonts w:ascii="Times New Roman" w:hAnsi="Times New Roman" w:hint="default"/>
      </w:rPr>
    </w:lvl>
    <w:lvl w:ilvl="3" w:tplc="0BB0CF54" w:tentative="1">
      <w:start w:val="1"/>
      <w:numFmt w:val="bullet"/>
      <w:lvlText w:val="•"/>
      <w:lvlJc w:val="left"/>
      <w:pPr>
        <w:tabs>
          <w:tab w:val="num" w:pos="2880"/>
        </w:tabs>
        <w:ind w:left="2880" w:hanging="360"/>
      </w:pPr>
      <w:rPr>
        <w:rFonts w:ascii="Times New Roman" w:hAnsi="Times New Roman" w:hint="default"/>
      </w:rPr>
    </w:lvl>
    <w:lvl w:ilvl="4" w:tplc="6B701A1C" w:tentative="1">
      <w:start w:val="1"/>
      <w:numFmt w:val="bullet"/>
      <w:lvlText w:val="•"/>
      <w:lvlJc w:val="left"/>
      <w:pPr>
        <w:tabs>
          <w:tab w:val="num" w:pos="3600"/>
        </w:tabs>
        <w:ind w:left="3600" w:hanging="360"/>
      </w:pPr>
      <w:rPr>
        <w:rFonts w:ascii="Times New Roman" w:hAnsi="Times New Roman" w:hint="default"/>
      </w:rPr>
    </w:lvl>
    <w:lvl w:ilvl="5" w:tplc="0DA28652" w:tentative="1">
      <w:start w:val="1"/>
      <w:numFmt w:val="bullet"/>
      <w:lvlText w:val="•"/>
      <w:lvlJc w:val="left"/>
      <w:pPr>
        <w:tabs>
          <w:tab w:val="num" w:pos="4320"/>
        </w:tabs>
        <w:ind w:left="4320" w:hanging="360"/>
      </w:pPr>
      <w:rPr>
        <w:rFonts w:ascii="Times New Roman" w:hAnsi="Times New Roman" w:hint="default"/>
      </w:rPr>
    </w:lvl>
    <w:lvl w:ilvl="6" w:tplc="6668158A" w:tentative="1">
      <w:start w:val="1"/>
      <w:numFmt w:val="bullet"/>
      <w:lvlText w:val="•"/>
      <w:lvlJc w:val="left"/>
      <w:pPr>
        <w:tabs>
          <w:tab w:val="num" w:pos="5040"/>
        </w:tabs>
        <w:ind w:left="5040" w:hanging="360"/>
      </w:pPr>
      <w:rPr>
        <w:rFonts w:ascii="Times New Roman" w:hAnsi="Times New Roman" w:hint="default"/>
      </w:rPr>
    </w:lvl>
    <w:lvl w:ilvl="7" w:tplc="C2467D46" w:tentative="1">
      <w:start w:val="1"/>
      <w:numFmt w:val="bullet"/>
      <w:lvlText w:val="•"/>
      <w:lvlJc w:val="left"/>
      <w:pPr>
        <w:tabs>
          <w:tab w:val="num" w:pos="5760"/>
        </w:tabs>
        <w:ind w:left="5760" w:hanging="360"/>
      </w:pPr>
      <w:rPr>
        <w:rFonts w:ascii="Times New Roman" w:hAnsi="Times New Roman" w:hint="default"/>
      </w:rPr>
    </w:lvl>
    <w:lvl w:ilvl="8" w:tplc="5580603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1D80AA4"/>
    <w:multiLevelType w:val="multilevel"/>
    <w:tmpl w:val="CA5A6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A91BA8"/>
    <w:multiLevelType w:val="hybridMultilevel"/>
    <w:tmpl w:val="72EC36C8"/>
    <w:lvl w:ilvl="0" w:tplc="042688EE">
      <w:start w:val="1"/>
      <w:numFmt w:val="bullet"/>
      <w:lvlText w:val="•"/>
      <w:lvlJc w:val="left"/>
      <w:pPr>
        <w:tabs>
          <w:tab w:val="num" w:pos="720"/>
        </w:tabs>
        <w:ind w:left="720" w:hanging="360"/>
      </w:pPr>
      <w:rPr>
        <w:rFonts w:ascii="Arial" w:hAnsi="Arial" w:hint="default"/>
      </w:rPr>
    </w:lvl>
    <w:lvl w:ilvl="1" w:tplc="8F006BA2" w:tentative="1">
      <w:start w:val="1"/>
      <w:numFmt w:val="bullet"/>
      <w:lvlText w:val="•"/>
      <w:lvlJc w:val="left"/>
      <w:pPr>
        <w:tabs>
          <w:tab w:val="num" w:pos="1440"/>
        </w:tabs>
        <w:ind w:left="1440" w:hanging="360"/>
      </w:pPr>
      <w:rPr>
        <w:rFonts w:ascii="Arial" w:hAnsi="Arial" w:hint="default"/>
      </w:rPr>
    </w:lvl>
    <w:lvl w:ilvl="2" w:tplc="A9386CA6" w:tentative="1">
      <w:start w:val="1"/>
      <w:numFmt w:val="bullet"/>
      <w:lvlText w:val="•"/>
      <w:lvlJc w:val="left"/>
      <w:pPr>
        <w:tabs>
          <w:tab w:val="num" w:pos="2160"/>
        </w:tabs>
        <w:ind w:left="2160" w:hanging="360"/>
      </w:pPr>
      <w:rPr>
        <w:rFonts w:ascii="Arial" w:hAnsi="Arial" w:hint="default"/>
      </w:rPr>
    </w:lvl>
    <w:lvl w:ilvl="3" w:tplc="B718AA80" w:tentative="1">
      <w:start w:val="1"/>
      <w:numFmt w:val="bullet"/>
      <w:lvlText w:val="•"/>
      <w:lvlJc w:val="left"/>
      <w:pPr>
        <w:tabs>
          <w:tab w:val="num" w:pos="2880"/>
        </w:tabs>
        <w:ind w:left="2880" w:hanging="360"/>
      </w:pPr>
      <w:rPr>
        <w:rFonts w:ascii="Arial" w:hAnsi="Arial" w:hint="default"/>
      </w:rPr>
    </w:lvl>
    <w:lvl w:ilvl="4" w:tplc="64C41AF8" w:tentative="1">
      <w:start w:val="1"/>
      <w:numFmt w:val="bullet"/>
      <w:lvlText w:val="•"/>
      <w:lvlJc w:val="left"/>
      <w:pPr>
        <w:tabs>
          <w:tab w:val="num" w:pos="3600"/>
        </w:tabs>
        <w:ind w:left="3600" w:hanging="360"/>
      </w:pPr>
      <w:rPr>
        <w:rFonts w:ascii="Arial" w:hAnsi="Arial" w:hint="default"/>
      </w:rPr>
    </w:lvl>
    <w:lvl w:ilvl="5" w:tplc="F89E4602" w:tentative="1">
      <w:start w:val="1"/>
      <w:numFmt w:val="bullet"/>
      <w:lvlText w:val="•"/>
      <w:lvlJc w:val="left"/>
      <w:pPr>
        <w:tabs>
          <w:tab w:val="num" w:pos="4320"/>
        </w:tabs>
        <w:ind w:left="4320" w:hanging="360"/>
      </w:pPr>
      <w:rPr>
        <w:rFonts w:ascii="Arial" w:hAnsi="Arial" w:hint="default"/>
      </w:rPr>
    </w:lvl>
    <w:lvl w:ilvl="6" w:tplc="3CE8232E" w:tentative="1">
      <w:start w:val="1"/>
      <w:numFmt w:val="bullet"/>
      <w:lvlText w:val="•"/>
      <w:lvlJc w:val="left"/>
      <w:pPr>
        <w:tabs>
          <w:tab w:val="num" w:pos="5040"/>
        </w:tabs>
        <w:ind w:left="5040" w:hanging="360"/>
      </w:pPr>
      <w:rPr>
        <w:rFonts w:ascii="Arial" w:hAnsi="Arial" w:hint="default"/>
      </w:rPr>
    </w:lvl>
    <w:lvl w:ilvl="7" w:tplc="0DE0A7EE" w:tentative="1">
      <w:start w:val="1"/>
      <w:numFmt w:val="bullet"/>
      <w:lvlText w:val="•"/>
      <w:lvlJc w:val="left"/>
      <w:pPr>
        <w:tabs>
          <w:tab w:val="num" w:pos="5760"/>
        </w:tabs>
        <w:ind w:left="5760" w:hanging="360"/>
      </w:pPr>
      <w:rPr>
        <w:rFonts w:ascii="Arial" w:hAnsi="Arial" w:hint="default"/>
      </w:rPr>
    </w:lvl>
    <w:lvl w:ilvl="8" w:tplc="DA10167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8F2E20"/>
    <w:multiLevelType w:val="hybridMultilevel"/>
    <w:tmpl w:val="84B6B720"/>
    <w:lvl w:ilvl="0" w:tplc="BB649040">
      <w:start w:val="1"/>
      <w:numFmt w:val="bullet"/>
      <w:lvlText w:val="•"/>
      <w:lvlJc w:val="left"/>
      <w:pPr>
        <w:tabs>
          <w:tab w:val="num" w:pos="720"/>
        </w:tabs>
        <w:ind w:left="720" w:hanging="360"/>
      </w:pPr>
      <w:rPr>
        <w:rFonts w:ascii="Times New Roman" w:hAnsi="Times New Roman" w:hint="default"/>
      </w:rPr>
    </w:lvl>
    <w:lvl w:ilvl="1" w:tplc="89A04670" w:tentative="1">
      <w:start w:val="1"/>
      <w:numFmt w:val="bullet"/>
      <w:lvlText w:val="•"/>
      <w:lvlJc w:val="left"/>
      <w:pPr>
        <w:tabs>
          <w:tab w:val="num" w:pos="1440"/>
        </w:tabs>
        <w:ind w:left="1440" w:hanging="360"/>
      </w:pPr>
      <w:rPr>
        <w:rFonts w:ascii="Times New Roman" w:hAnsi="Times New Roman" w:hint="default"/>
      </w:rPr>
    </w:lvl>
    <w:lvl w:ilvl="2" w:tplc="909AE3C2" w:tentative="1">
      <w:start w:val="1"/>
      <w:numFmt w:val="bullet"/>
      <w:lvlText w:val="•"/>
      <w:lvlJc w:val="left"/>
      <w:pPr>
        <w:tabs>
          <w:tab w:val="num" w:pos="2160"/>
        </w:tabs>
        <w:ind w:left="2160" w:hanging="360"/>
      </w:pPr>
      <w:rPr>
        <w:rFonts w:ascii="Times New Roman" w:hAnsi="Times New Roman" w:hint="default"/>
      </w:rPr>
    </w:lvl>
    <w:lvl w:ilvl="3" w:tplc="0BB0CF54" w:tentative="1">
      <w:start w:val="1"/>
      <w:numFmt w:val="bullet"/>
      <w:lvlText w:val="•"/>
      <w:lvlJc w:val="left"/>
      <w:pPr>
        <w:tabs>
          <w:tab w:val="num" w:pos="2880"/>
        </w:tabs>
        <w:ind w:left="2880" w:hanging="360"/>
      </w:pPr>
      <w:rPr>
        <w:rFonts w:ascii="Times New Roman" w:hAnsi="Times New Roman" w:hint="default"/>
      </w:rPr>
    </w:lvl>
    <w:lvl w:ilvl="4" w:tplc="6B701A1C" w:tentative="1">
      <w:start w:val="1"/>
      <w:numFmt w:val="bullet"/>
      <w:lvlText w:val="•"/>
      <w:lvlJc w:val="left"/>
      <w:pPr>
        <w:tabs>
          <w:tab w:val="num" w:pos="3600"/>
        </w:tabs>
        <w:ind w:left="3600" w:hanging="360"/>
      </w:pPr>
      <w:rPr>
        <w:rFonts w:ascii="Times New Roman" w:hAnsi="Times New Roman" w:hint="default"/>
      </w:rPr>
    </w:lvl>
    <w:lvl w:ilvl="5" w:tplc="0DA28652" w:tentative="1">
      <w:start w:val="1"/>
      <w:numFmt w:val="bullet"/>
      <w:lvlText w:val="•"/>
      <w:lvlJc w:val="left"/>
      <w:pPr>
        <w:tabs>
          <w:tab w:val="num" w:pos="4320"/>
        </w:tabs>
        <w:ind w:left="4320" w:hanging="360"/>
      </w:pPr>
      <w:rPr>
        <w:rFonts w:ascii="Times New Roman" w:hAnsi="Times New Roman" w:hint="default"/>
      </w:rPr>
    </w:lvl>
    <w:lvl w:ilvl="6" w:tplc="6668158A" w:tentative="1">
      <w:start w:val="1"/>
      <w:numFmt w:val="bullet"/>
      <w:lvlText w:val="•"/>
      <w:lvlJc w:val="left"/>
      <w:pPr>
        <w:tabs>
          <w:tab w:val="num" w:pos="5040"/>
        </w:tabs>
        <w:ind w:left="5040" w:hanging="360"/>
      </w:pPr>
      <w:rPr>
        <w:rFonts w:ascii="Times New Roman" w:hAnsi="Times New Roman" w:hint="default"/>
      </w:rPr>
    </w:lvl>
    <w:lvl w:ilvl="7" w:tplc="C2467D46" w:tentative="1">
      <w:start w:val="1"/>
      <w:numFmt w:val="bullet"/>
      <w:lvlText w:val="•"/>
      <w:lvlJc w:val="left"/>
      <w:pPr>
        <w:tabs>
          <w:tab w:val="num" w:pos="5760"/>
        </w:tabs>
        <w:ind w:left="5760" w:hanging="360"/>
      </w:pPr>
      <w:rPr>
        <w:rFonts w:ascii="Times New Roman" w:hAnsi="Times New Roman" w:hint="default"/>
      </w:rPr>
    </w:lvl>
    <w:lvl w:ilvl="8" w:tplc="5580603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53B63DE"/>
    <w:multiLevelType w:val="multilevel"/>
    <w:tmpl w:val="1B90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EB34F3"/>
    <w:multiLevelType w:val="hybridMultilevel"/>
    <w:tmpl w:val="0AD61A44"/>
    <w:lvl w:ilvl="0" w:tplc="3D4C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915954"/>
    <w:multiLevelType w:val="hybridMultilevel"/>
    <w:tmpl w:val="7BA61742"/>
    <w:lvl w:ilvl="0" w:tplc="3D4C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CA07BD0"/>
    <w:multiLevelType w:val="hybridMultilevel"/>
    <w:tmpl w:val="7FBA6F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0000350"/>
    <w:multiLevelType w:val="multilevel"/>
    <w:tmpl w:val="72DAB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E62DCB"/>
    <w:multiLevelType w:val="multilevel"/>
    <w:tmpl w:val="076E7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B432A7"/>
    <w:multiLevelType w:val="hybridMultilevel"/>
    <w:tmpl w:val="D6FABF76"/>
    <w:lvl w:ilvl="0" w:tplc="3D4C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2567D27"/>
    <w:multiLevelType w:val="multilevel"/>
    <w:tmpl w:val="FD44B370"/>
    <w:lvl w:ilvl="0">
      <w:start w:val="1"/>
      <w:numFmt w:val="decimal"/>
      <w:lvlText w:val="%1."/>
      <w:lvlJc w:val="left"/>
      <w:pPr>
        <w:tabs>
          <w:tab w:val="num" w:pos="720"/>
        </w:tabs>
        <w:ind w:left="720" w:hanging="360"/>
      </w:pPr>
      <w:rPr>
        <w:rFonts w:hint="default"/>
      </w:rPr>
    </w:lvl>
    <w:lvl w:ilvl="1">
      <w:start w:val="1"/>
      <w:numFmt w:val="russianLower"/>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 w15:restartNumberingAfterBreak="0">
    <w:nsid w:val="52E42A3D"/>
    <w:multiLevelType w:val="hybridMultilevel"/>
    <w:tmpl w:val="478878E4"/>
    <w:lvl w:ilvl="0" w:tplc="38941844">
      <w:start w:val="1"/>
      <w:numFmt w:val="bullet"/>
      <w:lvlText w:val="•"/>
      <w:lvlJc w:val="left"/>
      <w:pPr>
        <w:tabs>
          <w:tab w:val="num" w:pos="720"/>
        </w:tabs>
        <w:ind w:left="720" w:hanging="360"/>
      </w:pPr>
      <w:rPr>
        <w:rFonts w:ascii="Arial" w:hAnsi="Arial" w:hint="default"/>
      </w:rPr>
    </w:lvl>
    <w:lvl w:ilvl="1" w:tplc="43466644" w:tentative="1">
      <w:start w:val="1"/>
      <w:numFmt w:val="bullet"/>
      <w:lvlText w:val="•"/>
      <w:lvlJc w:val="left"/>
      <w:pPr>
        <w:tabs>
          <w:tab w:val="num" w:pos="1440"/>
        </w:tabs>
        <w:ind w:left="1440" w:hanging="360"/>
      </w:pPr>
      <w:rPr>
        <w:rFonts w:ascii="Arial" w:hAnsi="Arial" w:hint="default"/>
      </w:rPr>
    </w:lvl>
    <w:lvl w:ilvl="2" w:tplc="BFD6E74A" w:tentative="1">
      <w:start w:val="1"/>
      <w:numFmt w:val="bullet"/>
      <w:lvlText w:val="•"/>
      <w:lvlJc w:val="left"/>
      <w:pPr>
        <w:tabs>
          <w:tab w:val="num" w:pos="2160"/>
        </w:tabs>
        <w:ind w:left="2160" w:hanging="360"/>
      </w:pPr>
      <w:rPr>
        <w:rFonts w:ascii="Arial" w:hAnsi="Arial" w:hint="default"/>
      </w:rPr>
    </w:lvl>
    <w:lvl w:ilvl="3" w:tplc="7E7CF120" w:tentative="1">
      <w:start w:val="1"/>
      <w:numFmt w:val="bullet"/>
      <w:lvlText w:val="•"/>
      <w:lvlJc w:val="left"/>
      <w:pPr>
        <w:tabs>
          <w:tab w:val="num" w:pos="2880"/>
        </w:tabs>
        <w:ind w:left="2880" w:hanging="360"/>
      </w:pPr>
      <w:rPr>
        <w:rFonts w:ascii="Arial" w:hAnsi="Arial" w:hint="default"/>
      </w:rPr>
    </w:lvl>
    <w:lvl w:ilvl="4" w:tplc="D7600A5E" w:tentative="1">
      <w:start w:val="1"/>
      <w:numFmt w:val="bullet"/>
      <w:lvlText w:val="•"/>
      <w:lvlJc w:val="left"/>
      <w:pPr>
        <w:tabs>
          <w:tab w:val="num" w:pos="3600"/>
        </w:tabs>
        <w:ind w:left="3600" w:hanging="360"/>
      </w:pPr>
      <w:rPr>
        <w:rFonts w:ascii="Arial" w:hAnsi="Arial" w:hint="default"/>
      </w:rPr>
    </w:lvl>
    <w:lvl w:ilvl="5" w:tplc="028C1904" w:tentative="1">
      <w:start w:val="1"/>
      <w:numFmt w:val="bullet"/>
      <w:lvlText w:val="•"/>
      <w:lvlJc w:val="left"/>
      <w:pPr>
        <w:tabs>
          <w:tab w:val="num" w:pos="4320"/>
        </w:tabs>
        <w:ind w:left="4320" w:hanging="360"/>
      </w:pPr>
      <w:rPr>
        <w:rFonts w:ascii="Arial" w:hAnsi="Arial" w:hint="default"/>
      </w:rPr>
    </w:lvl>
    <w:lvl w:ilvl="6" w:tplc="06624C0C" w:tentative="1">
      <w:start w:val="1"/>
      <w:numFmt w:val="bullet"/>
      <w:lvlText w:val="•"/>
      <w:lvlJc w:val="left"/>
      <w:pPr>
        <w:tabs>
          <w:tab w:val="num" w:pos="5040"/>
        </w:tabs>
        <w:ind w:left="5040" w:hanging="360"/>
      </w:pPr>
      <w:rPr>
        <w:rFonts w:ascii="Arial" w:hAnsi="Arial" w:hint="default"/>
      </w:rPr>
    </w:lvl>
    <w:lvl w:ilvl="7" w:tplc="CAFE1556" w:tentative="1">
      <w:start w:val="1"/>
      <w:numFmt w:val="bullet"/>
      <w:lvlText w:val="•"/>
      <w:lvlJc w:val="left"/>
      <w:pPr>
        <w:tabs>
          <w:tab w:val="num" w:pos="5760"/>
        </w:tabs>
        <w:ind w:left="5760" w:hanging="360"/>
      </w:pPr>
      <w:rPr>
        <w:rFonts w:ascii="Arial" w:hAnsi="Arial" w:hint="default"/>
      </w:rPr>
    </w:lvl>
    <w:lvl w:ilvl="8" w:tplc="EB7EF2A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162F4F"/>
    <w:multiLevelType w:val="multilevel"/>
    <w:tmpl w:val="67C09A4A"/>
    <w:lvl w:ilvl="0">
      <w:start w:val="1"/>
      <w:numFmt w:val="lowerLetter"/>
      <w:lvlText w:val="%1."/>
      <w:lvlJc w:val="left"/>
    </w:lvl>
    <w:lvl w:ilvl="1">
      <w:start w:val="1"/>
      <w:numFmt w:val="decimal"/>
      <w:lvlText w:val="%2."/>
      <w:lvlJc w:val="left"/>
      <w:pPr>
        <w:tabs>
          <w:tab w:val="num" w:pos="1430"/>
        </w:tabs>
        <w:ind w:left="1430" w:hanging="360"/>
      </w:pPr>
    </w:lvl>
    <w:lvl w:ilvl="2" w:tentative="1">
      <w:start w:val="1"/>
      <w:numFmt w:val="decimal"/>
      <w:lvlText w:val="%3."/>
      <w:lvlJc w:val="left"/>
      <w:pPr>
        <w:tabs>
          <w:tab w:val="num" w:pos="2150"/>
        </w:tabs>
        <w:ind w:left="2150" w:hanging="360"/>
      </w:pPr>
    </w:lvl>
    <w:lvl w:ilvl="3" w:tentative="1">
      <w:start w:val="1"/>
      <w:numFmt w:val="decimal"/>
      <w:lvlText w:val="%4."/>
      <w:lvlJc w:val="left"/>
      <w:pPr>
        <w:tabs>
          <w:tab w:val="num" w:pos="2870"/>
        </w:tabs>
        <w:ind w:left="2870" w:hanging="360"/>
      </w:pPr>
    </w:lvl>
    <w:lvl w:ilvl="4" w:tentative="1">
      <w:start w:val="1"/>
      <w:numFmt w:val="decimal"/>
      <w:lvlText w:val="%5."/>
      <w:lvlJc w:val="left"/>
      <w:pPr>
        <w:tabs>
          <w:tab w:val="num" w:pos="3590"/>
        </w:tabs>
        <w:ind w:left="3590" w:hanging="360"/>
      </w:pPr>
    </w:lvl>
    <w:lvl w:ilvl="5" w:tentative="1">
      <w:start w:val="1"/>
      <w:numFmt w:val="decimal"/>
      <w:lvlText w:val="%6."/>
      <w:lvlJc w:val="left"/>
      <w:pPr>
        <w:tabs>
          <w:tab w:val="num" w:pos="4310"/>
        </w:tabs>
        <w:ind w:left="4310" w:hanging="360"/>
      </w:pPr>
    </w:lvl>
    <w:lvl w:ilvl="6" w:tentative="1">
      <w:start w:val="1"/>
      <w:numFmt w:val="decimal"/>
      <w:lvlText w:val="%7."/>
      <w:lvlJc w:val="left"/>
      <w:pPr>
        <w:tabs>
          <w:tab w:val="num" w:pos="5030"/>
        </w:tabs>
        <w:ind w:left="5030" w:hanging="360"/>
      </w:pPr>
    </w:lvl>
    <w:lvl w:ilvl="7" w:tentative="1">
      <w:start w:val="1"/>
      <w:numFmt w:val="decimal"/>
      <w:lvlText w:val="%8."/>
      <w:lvlJc w:val="left"/>
      <w:pPr>
        <w:tabs>
          <w:tab w:val="num" w:pos="5750"/>
        </w:tabs>
        <w:ind w:left="5750" w:hanging="360"/>
      </w:pPr>
    </w:lvl>
    <w:lvl w:ilvl="8" w:tentative="1">
      <w:start w:val="1"/>
      <w:numFmt w:val="decimal"/>
      <w:lvlText w:val="%9."/>
      <w:lvlJc w:val="left"/>
      <w:pPr>
        <w:tabs>
          <w:tab w:val="num" w:pos="6470"/>
        </w:tabs>
        <w:ind w:left="6470" w:hanging="360"/>
      </w:pPr>
    </w:lvl>
  </w:abstractNum>
  <w:abstractNum w:abstractNumId="24" w15:restartNumberingAfterBreak="0">
    <w:nsid w:val="544779A3"/>
    <w:multiLevelType w:val="hybridMultilevel"/>
    <w:tmpl w:val="667C4466"/>
    <w:lvl w:ilvl="0" w:tplc="3D4C189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8992493"/>
    <w:multiLevelType w:val="hybridMultilevel"/>
    <w:tmpl w:val="C60C5800"/>
    <w:lvl w:ilvl="0" w:tplc="4EDE0174">
      <w:start w:val="1"/>
      <w:numFmt w:val="decimal"/>
      <w:lvlText w:val="%1."/>
      <w:lvlJc w:val="left"/>
      <w:pPr>
        <w:tabs>
          <w:tab w:val="num" w:pos="720"/>
        </w:tabs>
        <w:ind w:left="720" w:hanging="360"/>
      </w:pPr>
    </w:lvl>
    <w:lvl w:ilvl="1" w:tplc="040A53F0" w:tentative="1">
      <w:start w:val="1"/>
      <w:numFmt w:val="decimal"/>
      <w:lvlText w:val="%2."/>
      <w:lvlJc w:val="left"/>
      <w:pPr>
        <w:tabs>
          <w:tab w:val="num" w:pos="1440"/>
        </w:tabs>
        <w:ind w:left="1440" w:hanging="360"/>
      </w:pPr>
    </w:lvl>
    <w:lvl w:ilvl="2" w:tplc="97AAE62C" w:tentative="1">
      <w:start w:val="1"/>
      <w:numFmt w:val="decimal"/>
      <w:lvlText w:val="%3."/>
      <w:lvlJc w:val="left"/>
      <w:pPr>
        <w:tabs>
          <w:tab w:val="num" w:pos="2160"/>
        </w:tabs>
        <w:ind w:left="2160" w:hanging="360"/>
      </w:pPr>
    </w:lvl>
    <w:lvl w:ilvl="3" w:tplc="E5FECED2" w:tentative="1">
      <w:start w:val="1"/>
      <w:numFmt w:val="decimal"/>
      <w:lvlText w:val="%4."/>
      <w:lvlJc w:val="left"/>
      <w:pPr>
        <w:tabs>
          <w:tab w:val="num" w:pos="2880"/>
        </w:tabs>
        <w:ind w:left="2880" w:hanging="360"/>
      </w:pPr>
    </w:lvl>
    <w:lvl w:ilvl="4" w:tplc="E4622432" w:tentative="1">
      <w:start w:val="1"/>
      <w:numFmt w:val="decimal"/>
      <w:lvlText w:val="%5."/>
      <w:lvlJc w:val="left"/>
      <w:pPr>
        <w:tabs>
          <w:tab w:val="num" w:pos="3600"/>
        </w:tabs>
        <w:ind w:left="3600" w:hanging="360"/>
      </w:pPr>
    </w:lvl>
    <w:lvl w:ilvl="5" w:tplc="E7EE170C" w:tentative="1">
      <w:start w:val="1"/>
      <w:numFmt w:val="decimal"/>
      <w:lvlText w:val="%6."/>
      <w:lvlJc w:val="left"/>
      <w:pPr>
        <w:tabs>
          <w:tab w:val="num" w:pos="4320"/>
        </w:tabs>
        <w:ind w:left="4320" w:hanging="360"/>
      </w:pPr>
    </w:lvl>
    <w:lvl w:ilvl="6" w:tplc="806C293E" w:tentative="1">
      <w:start w:val="1"/>
      <w:numFmt w:val="decimal"/>
      <w:lvlText w:val="%7."/>
      <w:lvlJc w:val="left"/>
      <w:pPr>
        <w:tabs>
          <w:tab w:val="num" w:pos="5040"/>
        </w:tabs>
        <w:ind w:left="5040" w:hanging="360"/>
      </w:pPr>
    </w:lvl>
    <w:lvl w:ilvl="7" w:tplc="9FA292EC" w:tentative="1">
      <w:start w:val="1"/>
      <w:numFmt w:val="decimal"/>
      <w:lvlText w:val="%8."/>
      <w:lvlJc w:val="left"/>
      <w:pPr>
        <w:tabs>
          <w:tab w:val="num" w:pos="5760"/>
        </w:tabs>
        <w:ind w:left="5760" w:hanging="360"/>
      </w:pPr>
    </w:lvl>
    <w:lvl w:ilvl="8" w:tplc="0F769A0E" w:tentative="1">
      <w:start w:val="1"/>
      <w:numFmt w:val="decimal"/>
      <w:lvlText w:val="%9."/>
      <w:lvlJc w:val="left"/>
      <w:pPr>
        <w:tabs>
          <w:tab w:val="num" w:pos="6480"/>
        </w:tabs>
        <w:ind w:left="6480" w:hanging="360"/>
      </w:pPr>
    </w:lvl>
  </w:abstractNum>
  <w:abstractNum w:abstractNumId="26" w15:restartNumberingAfterBreak="0">
    <w:nsid w:val="60E04E63"/>
    <w:multiLevelType w:val="hybridMultilevel"/>
    <w:tmpl w:val="C48EF33A"/>
    <w:lvl w:ilvl="0" w:tplc="3D4C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5D682B"/>
    <w:multiLevelType w:val="multilevel"/>
    <w:tmpl w:val="1A38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C44239"/>
    <w:multiLevelType w:val="hybridMultilevel"/>
    <w:tmpl w:val="AADC6720"/>
    <w:lvl w:ilvl="0" w:tplc="BA0CDD52">
      <w:start w:val="1"/>
      <w:numFmt w:val="bullet"/>
      <w:lvlText w:val="•"/>
      <w:lvlJc w:val="left"/>
      <w:pPr>
        <w:tabs>
          <w:tab w:val="num" w:pos="720"/>
        </w:tabs>
        <w:ind w:left="720" w:hanging="360"/>
      </w:pPr>
      <w:rPr>
        <w:rFonts w:ascii="Arial" w:hAnsi="Arial" w:hint="default"/>
      </w:rPr>
    </w:lvl>
    <w:lvl w:ilvl="1" w:tplc="52D63862" w:tentative="1">
      <w:start w:val="1"/>
      <w:numFmt w:val="bullet"/>
      <w:lvlText w:val="•"/>
      <w:lvlJc w:val="left"/>
      <w:pPr>
        <w:tabs>
          <w:tab w:val="num" w:pos="1440"/>
        </w:tabs>
        <w:ind w:left="1440" w:hanging="360"/>
      </w:pPr>
      <w:rPr>
        <w:rFonts w:ascii="Arial" w:hAnsi="Arial" w:hint="default"/>
      </w:rPr>
    </w:lvl>
    <w:lvl w:ilvl="2" w:tplc="6B7E1D12" w:tentative="1">
      <w:start w:val="1"/>
      <w:numFmt w:val="bullet"/>
      <w:lvlText w:val="•"/>
      <w:lvlJc w:val="left"/>
      <w:pPr>
        <w:tabs>
          <w:tab w:val="num" w:pos="2160"/>
        </w:tabs>
        <w:ind w:left="2160" w:hanging="360"/>
      </w:pPr>
      <w:rPr>
        <w:rFonts w:ascii="Arial" w:hAnsi="Arial" w:hint="default"/>
      </w:rPr>
    </w:lvl>
    <w:lvl w:ilvl="3" w:tplc="9D5EB43A" w:tentative="1">
      <w:start w:val="1"/>
      <w:numFmt w:val="bullet"/>
      <w:lvlText w:val="•"/>
      <w:lvlJc w:val="left"/>
      <w:pPr>
        <w:tabs>
          <w:tab w:val="num" w:pos="2880"/>
        </w:tabs>
        <w:ind w:left="2880" w:hanging="360"/>
      </w:pPr>
      <w:rPr>
        <w:rFonts w:ascii="Arial" w:hAnsi="Arial" w:hint="default"/>
      </w:rPr>
    </w:lvl>
    <w:lvl w:ilvl="4" w:tplc="814A879A" w:tentative="1">
      <w:start w:val="1"/>
      <w:numFmt w:val="bullet"/>
      <w:lvlText w:val="•"/>
      <w:lvlJc w:val="left"/>
      <w:pPr>
        <w:tabs>
          <w:tab w:val="num" w:pos="3600"/>
        </w:tabs>
        <w:ind w:left="3600" w:hanging="360"/>
      </w:pPr>
      <w:rPr>
        <w:rFonts w:ascii="Arial" w:hAnsi="Arial" w:hint="default"/>
      </w:rPr>
    </w:lvl>
    <w:lvl w:ilvl="5" w:tplc="9B08FFDA" w:tentative="1">
      <w:start w:val="1"/>
      <w:numFmt w:val="bullet"/>
      <w:lvlText w:val="•"/>
      <w:lvlJc w:val="left"/>
      <w:pPr>
        <w:tabs>
          <w:tab w:val="num" w:pos="4320"/>
        </w:tabs>
        <w:ind w:left="4320" w:hanging="360"/>
      </w:pPr>
      <w:rPr>
        <w:rFonts w:ascii="Arial" w:hAnsi="Arial" w:hint="default"/>
      </w:rPr>
    </w:lvl>
    <w:lvl w:ilvl="6" w:tplc="034E3730" w:tentative="1">
      <w:start w:val="1"/>
      <w:numFmt w:val="bullet"/>
      <w:lvlText w:val="•"/>
      <w:lvlJc w:val="left"/>
      <w:pPr>
        <w:tabs>
          <w:tab w:val="num" w:pos="5040"/>
        </w:tabs>
        <w:ind w:left="5040" w:hanging="360"/>
      </w:pPr>
      <w:rPr>
        <w:rFonts w:ascii="Arial" w:hAnsi="Arial" w:hint="default"/>
      </w:rPr>
    </w:lvl>
    <w:lvl w:ilvl="7" w:tplc="96EC551E" w:tentative="1">
      <w:start w:val="1"/>
      <w:numFmt w:val="bullet"/>
      <w:lvlText w:val="•"/>
      <w:lvlJc w:val="left"/>
      <w:pPr>
        <w:tabs>
          <w:tab w:val="num" w:pos="5760"/>
        </w:tabs>
        <w:ind w:left="5760" w:hanging="360"/>
      </w:pPr>
      <w:rPr>
        <w:rFonts w:ascii="Arial" w:hAnsi="Arial" w:hint="default"/>
      </w:rPr>
    </w:lvl>
    <w:lvl w:ilvl="8" w:tplc="E0747C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1866B19"/>
    <w:multiLevelType w:val="hybridMultilevel"/>
    <w:tmpl w:val="D354C92A"/>
    <w:lvl w:ilvl="0" w:tplc="3D4C189C">
      <w:start w:val="1"/>
      <w:numFmt w:val="bullet"/>
      <w:lvlText w:val=""/>
      <w:lvlJc w:val="left"/>
      <w:pPr>
        <w:tabs>
          <w:tab w:val="num" w:pos="720"/>
        </w:tabs>
        <w:ind w:left="720" w:hanging="360"/>
      </w:pPr>
      <w:rPr>
        <w:rFonts w:ascii="Symbol" w:hAnsi="Symbol" w:hint="default"/>
      </w:rPr>
    </w:lvl>
    <w:lvl w:ilvl="1" w:tplc="C12C3B36" w:tentative="1">
      <w:start w:val="1"/>
      <w:numFmt w:val="bullet"/>
      <w:lvlText w:val=""/>
      <w:lvlJc w:val="left"/>
      <w:pPr>
        <w:tabs>
          <w:tab w:val="num" w:pos="1440"/>
        </w:tabs>
        <w:ind w:left="1440" w:hanging="360"/>
      </w:pPr>
      <w:rPr>
        <w:rFonts w:ascii="Wingdings" w:hAnsi="Wingdings" w:hint="default"/>
      </w:rPr>
    </w:lvl>
    <w:lvl w:ilvl="2" w:tplc="F4E22E74" w:tentative="1">
      <w:start w:val="1"/>
      <w:numFmt w:val="bullet"/>
      <w:lvlText w:val=""/>
      <w:lvlJc w:val="left"/>
      <w:pPr>
        <w:tabs>
          <w:tab w:val="num" w:pos="2160"/>
        </w:tabs>
        <w:ind w:left="2160" w:hanging="360"/>
      </w:pPr>
      <w:rPr>
        <w:rFonts w:ascii="Wingdings" w:hAnsi="Wingdings" w:hint="default"/>
      </w:rPr>
    </w:lvl>
    <w:lvl w:ilvl="3" w:tplc="6CBA9F52" w:tentative="1">
      <w:start w:val="1"/>
      <w:numFmt w:val="bullet"/>
      <w:lvlText w:val=""/>
      <w:lvlJc w:val="left"/>
      <w:pPr>
        <w:tabs>
          <w:tab w:val="num" w:pos="2880"/>
        </w:tabs>
        <w:ind w:left="2880" w:hanging="360"/>
      </w:pPr>
      <w:rPr>
        <w:rFonts w:ascii="Wingdings" w:hAnsi="Wingdings" w:hint="default"/>
      </w:rPr>
    </w:lvl>
    <w:lvl w:ilvl="4" w:tplc="A5428666" w:tentative="1">
      <w:start w:val="1"/>
      <w:numFmt w:val="bullet"/>
      <w:lvlText w:val=""/>
      <w:lvlJc w:val="left"/>
      <w:pPr>
        <w:tabs>
          <w:tab w:val="num" w:pos="3600"/>
        </w:tabs>
        <w:ind w:left="3600" w:hanging="360"/>
      </w:pPr>
      <w:rPr>
        <w:rFonts w:ascii="Wingdings" w:hAnsi="Wingdings" w:hint="default"/>
      </w:rPr>
    </w:lvl>
    <w:lvl w:ilvl="5" w:tplc="6CF44CE4" w:tentative="1">
      <w:start w:val="1"/>
      <w:numFmt w:val="bullet"/>
      <w:lvlText w:val=""/>
      <w:lvlJc w:val="left"/>
      <w:pPr>
        <w:tabs>
          <w:tab w:val="num" w:pos="4320"/>
        </w:tabs>
        <w:ind w:left="4320" w:hanging="360"/>
      </w:pPr>
      <w:rPr>
        <w:rFonts w:ascii="Wingdings" w:hAnsi="Wingdings" w:hint="default"/>
      </w:rPr>
    </w:lvl>
    <w:lvl w:ilvl="6" w:tplc="5A4C6F74" w:tentative="1">
      <w:start w:val="1"/>
      <w:numFmt w:val="bullet"/>
      <w:lvlText w:val=""/>
      <w:lvlJc w:val="left"/>
      <w:pPr>
        <w:tabs>
          <w:tab w:val="num" w:pos="5040"/>
        </w:tabs>
        <w:ind w:left="5040" w:hanging="360"/>
      </w:pPr>
      <w:rPr>
        <w:rFonts w:ascii="Wingdings" w:hAnsi="Wingdings" w:hint="default"/>
      </w:rPr>
    </w:lvl>
    <w:lvl w:ilvl="7" w:tplc="3342D5F2" w:tentative="1">
      <w:start w:val="1"/>
      <w:numFmt w:val="bullet"/>
      <w:lvlText w:val=""/>
      <w:lvlJc w:val="left"/>
      <w:pPr>
        <w:tabs>
          <w:tab w:val="num" w:pos="5760"/>
        </w:tabs>
        <w:ind w:left="5760" w:hanging="360"/>
      </w:pPr>
      <w:rPr>
        <w:rFonts w:ascii="Wingdings" w:hAnsi="Wingdings" w:hint="default"/>
      </w:rPr>
    </w:lvl>
    <w:lvl w:ilvl="8" w:tplc="4A26243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260454"/>
    <w:multiLevelType w:val="hybridMultilevel"/>
    <w:tmpl w:val="672C8A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7E90540"/>
    <w:multiLevelType w:val="multilevel"/>
    <w:tmpl w:val="4D5E9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101CA8"/>
    <w:multiLevelType w:val="hybridMultilevel"/>
    <w:tmpl w:val="06F0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8072F1"/>
    <w:multiLevelType w:val="hybridMultilevel"/>
    <w:tmpl w:val="AC00FC3A"/>
    <w:lvl w:ilvl="0" w:tplc="DD769F2C">
      <w:numFmt w:val="bullet"/>
      <w:lvlText w:val="-"/>
      <w:lvlJc w:val="left"/>
      <w:pPr>
        <w:ind w:left="1440" w:hanging="360"/>
      </w:pPr>
      <w:rPr>
        <w:rFonts w:ascii="Calibri" w:eastAsiaTheme="minorHAnsi" w:hAnsi="Calibri" w:cstheme="minorBidi" w:hint="default"/>
      </w:rPr>
    </w:lvl>
    <w:lvl w:ilvl="1" w:tplc="DD769F2C">
      <w:numFmt w:val="bullet"/>
      <w:lvlText w:val="-"/>
      <w:lvlJc w:val="left"/>
      <w:pPr>
        <w:ind w:left="2160" w:hanging="360"/>
      </w:pPr>
      <w:rPr>
        <w:rFonts w:ascii="Calibri" w:eastAsiaTheme="minorHAnsi" w:hAnsi="Calibri" w:cstheme="minorBidi"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7D69716A"/>
    <w:multiLevelType w:val="hybridMultilevel"/>
    <w:tmpl w:val="6CF20084"/>
    <w:lvl w:ilvl="0" w:tplc="3D4C18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DF039DA"/>
    <w:multiLevelType w:val="hybridMultilevel"/>
    <w:tmpl w:val="60D660C2"/>
    <w:lvl w:ilvl="0" w:tplc="7BC21D3A">
      <w:start w:val="1"/>
      <w:numFmt w:val="bullet"/>
      <w:lvlText w:val=""/>
      <w:lvlJc w:val="left"/>
      <w:pPr>
        <w:tabs>
          <w:tab w:val="num" w:pos="720"/>
        </w:tabs>
        <w:ind w:left="720" w:hanging="360"/>
      </w:pPr>
      <w:rPr>
        <w:rFonts w:ascii="Wingdings" w:hAnsi="Wingdings" w:hint="default"/>
      </w:rPr>
    </w:lvl>
    <w:lvl w:ilvl="1" w:tplc="B0E6E752" w:tentative="1">
      <w:start w:val="1"/>
      <w:numFmt w:val="bullet"/>
      <w:lvlText w:val=""/>
      <w:lvlJc w:val="left"/>
      <w:pPr>
        <w:tabs>
          <w:tab w:val="num" w:pos="1440"/>
        </w:tabs>
        <w:ind w:left="1440" w:hanging="360"/>
      </w:pPr>
      <w:rPr>
        <w:rFonts w:ascii="Wingdings" w:hAnsi="Wingdings" w:hint="default"/>
      </w:rPr>
    </w:lvl>
    <w:lvl w:ilvl="2" w:tplc="E4704D0C" w:tentative="1">
      <w:start w:val="1"/>
      <w:numFmt w:val="bullet"/>
      <w:lvlText w:val=""/>
      <w:lvlJc w:val="left"/>
      <w:pPr>
        <w:tabs>
          <w:tab w:val="num" w:pos="2160"/>
        </w:tabs>
        <w:ind w:left="2160" w:hanging="360"/>
      </w:pPr>
      <w:rPr>
        <w:rFonts w:ascii="Wingdings" w:hAnsi="Wingdings" w:hint="default"/>
      </w:rPr>
    </w:lvl>
    <w:lvl w:ilvl="3" w:tplc="4E24100E" w:tentative="1">
      <w:start w:val="1"/>
      <w:numFmt w:val="bullet"/>
      <w:lvlText w:val=""/>
      <w:lvlJc w:val="left"/>
      <w:pPr>
        <w:tabs>
          <w:tab w:val="num" w:pos="2880"/>
        </w:tabs>
        <w:ind w:left="2880" w:hanging="360"/>
      </w:pPr>
      <w:rPr>
        <w:rFonts w:ascii="Wingdings" w:hAnsi="Wingdings" w:hint="default"/>
      </w:rPr>
    </w:lvl>
    <w:lvl w:ilvl="4" w:tplc="68D2ABEE" w:tentative="1">
      <w:start w:val="1"/>
      <w:numFmt w:val="bullet"/>
      <w:lvlText w:val=""/>
      <w:lvlJc w:val="left"/>
      <w:pPr>
        <w:tabs>
          <w:tab w:val="num" w:pos="3600"/>
        </w:tabs>
        <w:ind w:left="3600" w:hanging="360"/>
      </w:pPr>
      <w:rPr>
        <w:rFonts w:ascii="Wingdings" w:hAnsi="Wingdings" w:hint="default"/>
      </w:rPr>
    </w:lvl>
    <w:lvl w:ilvl="5" w:tplc="44CEEA40" w:tentative="1">
      <w:start w:val="1"/>
      <w:numFmt w:val="bullet"/>
      <w:lvlText w:val=""/>
      <w:lvlJc w:val="left"/>
      <w:pPr>
        <w:tabs>
          <w:tab w:val="num" w:pos="4320"/>
        </w:tabs>
        <w:ind w:left="4320" w:hanging="360"/>
      </w:pPr>
      <w:rPr>
        <w:rFonts w:ascii="Wingdings" w:hAnsi="Wingdings" w:hint="default"/>
      </w:rPr>
    </w:lvl>
    <w:lvl w:ilvl="6" w:tplc="250A46AA" w:tentative="1">
      <w:start w:val="1"/>
      <w:numFmt w:val="bullet"/>
      <w:lvlText w:val=""/>
      <w:lvlJc w:val="left"/>
      <w:pPr>
        <w:tabs>
          <w:tab w:val="num" w:pos="5040"/>
        </w:tabs>
        <w:ind w:left="5040" w:hanging="360"/>
      </w:pPr>
      <w:rPr>
        <w:rFonts w:ascii="Wingdings" w:hAnsi="Wingdings" w:hint="default"/>
      </w:rPr>
    </w:lvl>
    <w:lvl w:ilvl="7" w:tplc="51E2E4E6" w:tentative="1">
      <w:start w:val="1"/>
      <w:numFmt w:val="bullet"/>
      <w:lvlText w:val=""/>
      <w:lvlJc w:val="left"/>
      <w:pPr>
        <w:tabs>
          <w:tab w:val="num" w:pos="5760"/>
        </w:tabs>
        <w:ind w:left="5760" w:hanging="360"/>
      </w:pPr>
      <w:rPr>
        <w:rFonts w:ascii="Wingdings" w:hAnsi="Wingdings" w:hint="default"/>
      </w:rPr>
    </w:lvl>
    <w:lvl w:ilvl="8" w:tplc="FBCE9F2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3764A1"/>
    <w:multiLevelType w:val="multilevel"/>
    <w:tmpl w:val="694C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30"/>
  </w:num>
  <w:num w:numId="3">
    <w:abstractNumId w:val="1"/>
  </w:num>
  <w:num w:numId="4">
    <w:abstractNumId w:val="27"/>
  </w:num>
  <w:num w:numId="5">
    <w:abstractNumId w:val="9"/>
  </w:num>
  <w:num w:numId="6">
    <w:abstractNumId w:val="19"/>
  </w:num>
  <w:num w:numId="7">
    <w:abstractNumId w:val="18"/>
  </w:num>
  <w:num w:numId="8">
    <w:abstractNumId w:val="36"/>
  </w:num>
  <w:num w:numId="9">
    <w:abstractNumId w:val="31"/>
  </w:num>
  <w:num w:numId="10">
    <w:abstractNumId w:val="34"/>
  </w:num>
  <w:num w:numId="11">
    <w:abstractNumId w:val="14"/>
  </w:num>
  <w:num w:numId="12">
    <w:abstractNumId w:val="16"/>
  </w:num>
  <w:num w:numId="13">
    <w:abstractNumId w:val="24"/>
  </w:num>
  <w:num w:numId="14">
    <w:abstractNumId w:val="0"/>
  </w:num>
  <w:num w:numId="15">
    <w:abstractNumId w:val="9"/>
    <w:lvlOverride w:ilvl="0">
      <w:lvl w:ilvl="0">
        <w:start w:val="1"/>
        <w:numFmt w:val="decimal"/>
        <w:lvlText w:val="%1."/>
        <w:lvlJc w:val="left"/>
        <w:pPr>
          <w:tabs>
            <w:tab w:val="num" w:pos="720"/>
          </w:tabs>
          <w:ind w:left="720" w:hanging="360"/>
        </w:pPr>
        <w:rPr>
          <w:rFonts w:hint="default"/>
        </w:rPr>
      </w:lvl>
    </w:lvlOverride>
    <w:lvlOverride w:ilvl="1">
      <w:lvl w:ilvl="1">
        <w:start w:val="1"/>
        <w:numFmt w:val="russianLower"/>
        <w:lvlText w:val="%2"/>
        <w:lvlJc w:val="left"/>
        <w:pPr>
          <w:tabs>
            <w:tab w:val="num" w:pos="1440"/>
          </w:tabs>
          <w:ind w:left="1440" w:hanging="360"/>
        </w:pPr>
        <w:rPr>
          <w:rFonts w:hint="default"/>
          <w:sz w:val="20"/>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16">
    <w:abstractNumId w:val="9"/>
    <w:lvlOverride w:ilvl="0">
      <w:lvl w:ilvl="0">
        <w:start w:val="1"/>
        <w:numFmt w:val="decimal"/>
        <w:lvlText w:val="%1."/>
        <w:lvlJc w:val="left"/>
        <w:pPr>
          <w:tabs>
            <w:tab w:val="num" w:pos="720"/>
          </w:tabs>
          <w:ind w:left="720" w:hanging="360"/>
        </w:pPr>
        <w:rPr>
          <w:rFonts w:hint="default"/>
        </w:rPr>
      </w:lvl>
    </w:lvlOverride>
    <w:lvlOverride w:ilvl="1">
      <w:lvl w:ilvl="1">
        <w:start w:val="1"/>
        <w:numFmt w:val="lowerLetter"/>
        <w:lvlText w:val="a%2"/>
        <w:lvlJc w:val="left"/>
        <w:pPr>
          <w:tabs>
            <w:tab w:val="num" w:pos="1440"/>
          </w:tabs>
          <w:ind w:left="1440" w:hanging="360"/>
        </w:pPr>
        <w:rPr>
          <w:rFonts w:hint="default"/>
          <w:sz w:val="20"/>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17">
    <w:abstractNumId w:val="21"/>
  </w:num>
  <w:num w:numId="18">
    <w:abstractNumId w:val="9"/>
    <w:lvlOverride w:ilvl="0">
      <w:lvl w:ilvl="0">
        <w:start w:val="1"/>
        <w:numFmt w:val="decimal"/>
        <w:lvlText w:val="%1."/>
        <w:lvlJc w:val="left"/>
        <w:pPr>
          <w:tabs>
            <w:tab w:val="num" w:pos="720"/>
          </w:tabs>
          <w:ind w:left="720" w:hanging="360"/>
        </w:pPr>
        <w:rPr>
          <w:rFonts w:hint="default"/>
        </w:rPr>
      </w:lvl>
    </w:lvlOverride>
    <w:lvlOverride w:ilvl="1">
      <w:lvl w:ilvl="1">
        <w:start w:val="1"/>
        <w:numFmt w:val="lowerLetter"/>
        <w:lvlText w:val="%2"/>
        <w:lvlJc w:val="left"/>
        <w:pPr>
          <w:tabs>
            <w:tab w:val="num" w:pos="1440"/>
          </w:tabs>
          <w:ind w:left="1440" w:hanging="360"/>
        </w:pPr>
        <w:rPr>
          <w:rFonts w:hint="default"/>
          <w:sz w:val="20"/>
        </w:rPr>
      </w:lvl>
    </w:lvlOverride>
    <w:lvlOverride w:ilvl="2">
      <w:lvl w:ilvl="2">
        <w:start w:val="1"/>
        <w:numFmt w:val="decimal"/>
        <w:lvlText w:val="%3."/>
        <w:lvlJc w:val="left"/>
        <w:pPr>
          <w:tabs>
            <w:tab w:val="num" w:pos="2160"/>
          </w:tabs>
          <w:ind w:left="2160" w:hanging="36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decimal"/>
        <w:lvlText w:val="%5."/>
        <w:lvlJc w:val="left"/>
        <w:pPr>
          <w:tabs>
            <w:tab w:val="num" w:pos="3600"/>
          </w:tabs>
          <w:ind w:left="3600" w:hanging="360"/>
        </w:pPr>
        <w:rPr>
          <w:rFonts w:hint="default"/>
        </w:rPr>
      </w:lvl>
    </w:lvlOverride>
    <w:lvlOverride w:ilvl="5">
      <w:lvl w:ilvl="5">
        <w:start w:val="1"/>
        <w:numFmt w:val="decimal"/>
        <w:lvlText w:val="%6."/>
        <w:lvlJc w:val="left"/>
        <w:pPr>
          <w:tabs>
            <w:tab w:val="num" w:pos="4320"/>
          </w:tabs>
          <w:ind w:left="4320" w:hanging="36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decimal"/>
        <w:lvlText w:val="%8."/>
        <w:lvlJc w:val="left"/>
        <w:pPr>
          <w:tabs>
            <w:tab w:val="num" w:pos="5760"/>
          </w:tabs>
          <w:ind w:left="5760" w:hanging="360"/>
        </w:pPr>
        <w:rPr>
          <w:rFonts w:hint="default"/>
        </w:rPr>
      </w:lvl>
    </w:lvlOverride>
    <w:lvlOverride w:ilvl="8">
      <w:lvl w:ilvl="8">
        <w:start w:val="1"/>
        <w:numFmt w:val="decimal"/>
        <w:lvlText w:val="%9."/>
        <w:lvlJc w:val="left"/>
        <w:pPr>
          <w:tabs>
            <w:tab w:val="num" w:pos="6480"/>
          </w:tabs>
          <w:ind w:left="6480" w:hanging="360"/>
        </w:pPr>
        <w:rPr>
          <w:rFonts w:hint="default"/>
        </w:rPr>
      </w:lvl>
    </w:lvlOverride>
  </w:num>
  <w:num w:numId="19">
    <w:abstractNumId w:val="2"/>
  </w:num>
  <w:num w:numId="20">
    <w:abstractNumId w:val="3"/>
  </w:num>
  <w:num w:numId="21">
    <w:abstractNumId w:val="17"/>
  </w:num>
  <w:num w:numId="22">
    <w:abstractNumId w:val="5"/>
  </w:num>
  <w:num w:numId="23">
    <w:abstractNumId w:val="11"/>
  </w:num>
  <w:num w:numId="24">
    <w:abstractNumId w:val="12"/>
  </w:num>
  <w:num w:numId="25">
    <w:abstractNumId w:val="15"/>
  </w:num>
  <w:num w:numId="26">
    <w:abstractNumId w:val="6"/>
  </w:num>
  <w:num w:numId="27">
    <w:abstractNumId w:val="22"/>
  </w:num>
  <w:num w:numId="28">
    <w:abstractNumId w:val="28"/>
  </w:num>
  <w:num w:numId="29">
    <w:abstractNumId w:val="26"/>
  </w:num>
  <w:num w:numId="30">
    <w:abstractNumId w:val="13"/>
  </w:num>
  <w:num w:numId="31">
    <w:abstractNumId w:val="10"/>
  </w:num>
  <w:num w:numId="32">
    <w:abstractNumId w:val="7"/>
  </w:num>
  <w:num w:numId="33">
    <w:abstractNumId w:val="29"/>
  </w:num>
  <w:num w:numId="34">
    <w:abstractNumId w:val="35"/>
  </w:num>
  <w:num w:numId="35">
    <w:abstractNumId w:val="8"/>
  </w:num>
  <w:num w:numId="36">
    <w:abstractNumId w:val="15"/>
  </w:num>
  <w:num w:numId="37">
    <w:abstractNumId w:val="26"/>
  </w:num>
  <w:num w:numId="38">
    <w:abstractNumId w:val="23"/>
  </w:num>
  <w:num w:numId="39">
    <w:abstractNumId w:val="33"/>
  </w:num>
  <w:num w:numId="40">
    <w:abstractNumId w:val="32"/>
  </w:num>
  <w:num w:numId="41">
    <w:abstractNumId w:val="25"/>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D5C"/>
    <w:rsid w:val="00001C28"/>
    <w:rsid w:val="000058E3"/>
    <w:rsid w:val="00012BAE"/>
    <w:rsid w:val="00013118"/>
    <w:rsid w:val="0001561F"/>
    <w:rsid w:val="000158B3"/>
    <w:rsid w:val="0001611A"/>
    <w:rsid w:val="000169A4"/>
    <w:rsid w:val="00017908"/>
    <w:rsid w:val="00021B84"/>
    <w:rsid w:val="0002201D"/>
    <w:rsid w:val="00023619"/>
    <w:rsid w:val="00024777"/>
    <w:rsid w:val="0002723F"/>
    <w:rsid w:val="000306DF"/>
    <w:rsid w:val="00030962"/>
    <w:rsid w:val="00032387"/>
    <w:rsid w:val="00035F5C"/>
    <w:rsid w:val="00036A9B"/>
    <w:rsid w:val="000456D3"/>
    <w:rsid w:val="00045C18"/>
    <w:rsid w:val="00046803"/>
    <w:rsid w:val="00050998"/>
    <w:rsid w:val="00052ECC"/>
    <w:rsid w:val="000557B7"/>
    <w:rsid w:val="0005765D"/>
    <w:rsid w:val="0005776F"/>
    <w:rsid w:val="000615DC"/>
    <w:rsid w:val="00067B4D"/>
    <w:rsid w:val="000724F7"/>
    <w:rsid w:val="0007304A"/>
    <w:rsid w:val="0007307A"/>
    <w:rsid w:val="000745D3"/>
    <w:rsid w:val="0008093F"/>
    <w:rsid w:val="00083939"/>
    <w:rsid w:val="0008396A"/>
    <w:rsid w:val="00085E93"/>
    <w:rsid w:val="000875DA"/>
    <w:rsid w:val="0009187A"/>
    <w:rsid w:val="0009625F"/>
    <w:rsid w:val="00096F1F"/>
    <w:rsid w:val="000A0E51"/>
    <w:rsid w:val="000A2185"/>
    <w:rsid w:val="000A2209"/>
    <w:rsid w:val="000A32D3"/>
    <w:rsid w:val="000A60A2"/>
    <w:rsid w:val="000B0EA1"/>
    <w:rsid w:val="000B0F7A"/>
    <w:rsid w:val="000B1652"/>
    <w:rsid w:val="000B32FD"/>
    <w:rsid w:val="000B4F45"/>
    <w:rsid w:val="000B5E0A"/>
    <w:rsid w:val="000C04C6"/>
    <w:rsid w:val="000C3CC1"/>
    <w:rsid w:val="000C52FB"/>
    <w:rsid w:val="000D1A82"/>
    <w:rsid w:val="000D554B"/>
    <w:rsid w:val="000D5ED2"/>
    <w:rsid w:val="000D637B"/>
    <w:rsid w:val="000D6C7E"/>
    <w:rsid w:val="000E0F55"/>
    <w:rsid w:val="000E1A41"/>
    <w:rsid w:val="000E3909"/>
    <w:rsid w:val="000E4C69"/>
    <w:rsid w:val="000E4D5C"/>
    <w:rsid w:val="000E755A"/>
    <w:rsid w:val="000F1F7A"/>
    <w:rsid w:val="000F3F90"/>
    <w:rsid w:val="000F78AB"/>
    <w:rsid w:val="000F7A8A"/>
    <w:rsid w:val="0010379E"/>
    <w:rsid w:val="00103DB9"/>
    <w:rsid w:val="00104318"/>
    <w:rsid w:val="0010799F"/>
    <w:rsid w:val="00116BF2"/>
    <w:rsid w:val="001265EB"/>
    <w:rsid w:val="001277D5"/>
    <w:rsid w:val="00132BC6"/>
    <w:rsid w:val="00134EB8"/>
    <w:rsid w:val="0013754E"/>
    <w:rsid w:val="0014108B"/>
    <w:rsid w:val="001420E3"/>
    <w:rsid w:val="00143538"/>
    <w:rsid w:val="001500AA"/>
    <w:rsid w:val="001553ED"/>
    <w:rsid w:val="00160A75"/>
    <w:rsid w:val="00161D82"/>
    <w:rsid w:val="001654CC"/>
    <w:rsid w:val="0016647F"/>
    <w:rsid w:val="00167AAD"/>
    <w:rsid w:val="00176363"/>
    <w:rsid w:val="00180467"/>
    <w:rsid w:val="00182C48"/>
    <w:rsid w:val="00183C2A"/>
    <w:rsid w:val="00184287"/>
    <w:rsid w:val="001A0467"/>
    <w:rsid w:val="001A0CEB"/>
    <w:rsid w:val="001A1ED2"/>
    <w:rsid w:val="001A4598"/>
    <w:rsid w:val="001A61CB"/>
    <w:rsid w:val="001B0D86"/>
    <w:rsid w:val="001B1D2C"/>
    <w:rsid w:val="001B31FC"/>
    <w:rsid w:val="001B4848"/>
    <w:rsid w:val="001B5A2F"/>
    <w:rsid w:val="001B5E7D"/>
    <w:rsid w:val="001C23A0"/>
    <w:rsid w:val="001C240B"/>
    <w:rsid w:val="001C3B0F"/>
    <w:rsid w:val="001C42F4"/>
    <w:rsid w:val="001D319B"/>
    <w:rsid w:val="001D4825"/>
    <w:rsid w:val="001E352B"/>
    <w:rsid w:val="001F03E9"/>
    <w:rsid w:val="001F4853"/>
    <w:rsid w:val="001F6427"/>
    <w:rsid w:val="00200173"/>
    <w:rsid w:val="002011C7"/>
    <w:rsid w:val="00201C86"/>
    <w:rsid w:val="0020243F"/>
    <w:rsid w:val="002063B3"/>
    <w:rsid w:val="00207D35"/>
    <w:rsid w:val="002101B5"/>
    <w:rsid w:val="00210786"/>
    <w:rsid w:val="00217C96"/>
    <w:rsid w:val="002250CC"/>
    <w:rsid w:val="0022798D"/>
    <w:rsid w:val="00237A68"/>
    <w:rsid w:val="00242FD5"/>
    <w:rsid w:val="00245111"/>
    <w:rsid w:val="00250C17"/>
    <w:rsid w:val="002532C6"/>
    <w:rsid w:val="00255F64"/>
    <w:rsid w:val="00256958"/>
    <w:rsid w:val="00256F1E"/>
    <w:rsid w:val="00260C5E"/>
    <w:rsid w:val="0026511A"/>
    <w:rsid w:val="002661B2"/>
    <w:rsid w:val="00270807"/>
    <w:rsid w:val="00272043"/>
    <w:rsid w:val="0027224D"/>
    <w:rsid w:val="002745FF"/>
    <w:rsid w:val="00275AAE"/>
    <w:rsid w:val="002841C1"/>
    <w:rsid w:val="00290B90"/>
    <w:rsid w:val="0029564F"/>
    <w:rsid w:val="0029607D"/>
    <w:rsid w:val="00296982"/>
    <w:rsid w:val="002A2FD5"/>
    <w:rsid w:val="002A3810"/>
    <w:rsid w:val="002A4F37"/>
    <w:rsid w:val="002A5364"/>
    <w:rsid w:val="002B5290"/>
    <w:rsid w:val="002B6652"/>
    <w:rsid w:val="002B7FBA"/>
    <w:rsid w:val="002C179A"/>
    <w:rsid w:val="002C212C"/>
    <w:rsid w:val="002C241F"/>
    <w:rsid w:val="002C3239"/>
    <w:rsid w:val="002C46E4"/>
    <w:rsid w:val="002C4945"/>
    <w:rsid w:val="002C5B72"/>
    <w:rsid w:val="002C6961"/>
    <w:rsid w:val="002C738A"/>
    <w:rsid w:val="002D5175"/>
    <w:rsid w:val="002D5DFC"/>
    <w:rsid w:val="002E387D"/>
    <w:rsid w:val="002E3C8B"/>
    <w:rsid w:val="002E7D7B"/>
    <w:rsid w:val="002F3C6C"/>
    <w:rsid w:val="002F458D"/>
    <w:rsid w:val="002F48CD"/>
    <w:rsid w:val="0030449E"/>
    <w:rsid w:val="00305062"/>
    <w:rsid w:val="00307968"/>
    <w:rsid w:val="00312FA3"/>
    <w:rsid w:val="00314409"/>
    <w:rsid w:val="003152D0"/>
    <w:rsid w:val="00323F9F"/>
    <w:rsid w:val="00326666"/>
    <w:rsid w:val="00326B88"/>
    <w:rsid w:val="00326D49"/>
    <w:rsid w:val="003276F2"/>
    <w:rsid w:val="003358A8"/>
    <w:rsid w:val="00335A8A"/>
    <w:rsid w:val="00336981"/>
    <w:rsid w:val="00337CDC"/>
    <w:rsid w:val="003413A8"/>
    <w:rsid w:val="00346640"/>
    <w:rsid w:val="00350A5A"/>
    <w:rsid w:val="00352C3D"/>
    <w:rsid w:val="00352D2C"/>
    <w:rsid w:val="00353864"/>
    <w:rsid w:val="0035584A"/>
    <w:rsid w:val="00356BFF"/>
    <w:rsid w:val="0036081C"/>
    <w:rsid w:val="00362C78"/>
    <w:rsid w:val="00363809"/>
    <w:rsid w:val="00365A31"/>
    <w:rsid w:val="003672C9"/>
    <w:rsid w:val="00370534"/>
    <w:rsid w:val="00371C4A"/>
    <w:rsid w:val="0037515F"/>
    <w:rsid w:val="00380C1D"/>
    <w:rsid w:val="00384E13"/>
    <w:rsid w:val="00386C36"/>
    <w:rsid w:val="003926E0"/>
    <w:rsid w:val="00393FA8"/>
    <w:rsid w:val="003966C5"/>
    <w:rsid w:val="00397171"/>
    <w:rsid w:val="003A2A64"/>
    <w:rsid w:val="003A41AF"/>
    <w:rsid w:val="003A4689"/>
    <w:rsid w:val="003B1519"/>
    <w:rsid w:val="003B489B"/>
    <w:rsid w:val="003B4B3B"/>
    <w:rsid w:val="003B5914"/>
    <w:rsid w:val="003B73D7"/>
    <w:rsid w:val="003B748C"/>
    <w:rsid w:val="003C1976"/>
    <w:rsid w:val="003C6A33"/>
    <w:rsid w:val="003C6C8C"/>
    <w:rsid w:val="003D119B"/>
    <w:rsid w:val="003D780D"/>
    <w:rsid w:val="003E277F"/>
    <w:rsid w:val="003E7D3B"/>
    <w:rsid w:val="003F1C35"/>
    <w:rsid w:val="003F3A8D"/>
    <w:rsid w:val="00402CF7"/>
    <w:rsid w:val="00404F3C"/>
    <w:rsid w:val="00406C9F"/>
    <w:rsid w:val="00410560"/>
    <w:rsid w:val="0041216B"/>
    <w:rsid w:val="004127B5"/>
    <w:rsid w:val="00412FA7"/>
    <w:rsid w:val="00414ED3"/>
    <w:rsid w:val="004175D8"/>
    <w:rsid w:val="004236FE"/>
    <w:rsid w:val="00425841"/>
    <w:rsid w:val="004319EC"/>
    <w:rsid w:val="004321C3"/>
    <w:rsid w:val="0043510A"/>
    <w:rsid w:val="004360D3"/>
    <w:rsid w:val="0043697B"/>
    <w:rsid w:val="0043731E"/>
    <w:rsid w:val="00441438"/>
    <w:rsid w:val="00441FE2"/>
    <w:rsid w:val="00445EEB"/>
    <w:rsid w:val="00446E07"/>
    <w:rsid w:val="00451CCF"/>
    <w:rsid w:val="004536A7"/>
    <w:rsid w:val="004549E3"/>
    <w:rsid w:val="004715EE"/>
    <w:rsid w:val="004744B8"/>
    <w:rsid w:val="00475614"/>
    <w:rsid w:val="00480A49"/>
    <w:rsid w:val="00486774"/>
    <w:rsid w:val="00486C10"/>
    <w:rsid w:val="004906ED"/>
    <w:rsid w:val="00494BB7"/>
    <w:rsid w:val="004A423F"/>
    <w:rsid w:val="004A5224"/>
    <w:rsid w:val="004B1DF8"/>
    <w:rsid w:val="004B2301"/>
    <w:rsid w:val="004B3354"/>
    <w:rsid w:val="004B6D18"/>
    <w:rsid w:val="004C03B8"/>
    <w:rsid w:val="004C3876"/>
    <w:rsid w:val="004C5713"/>
    <w:rsid w:val="004D0251"/>
    <w:rsid w:val="004D1EFF"/>
    <w:rsid w:val="004D2BD5"/>
    <w:rsid w:val="004D5409"/>
    <w:rsid w:val="004D606F"/>
    <w:rsid w:val="004E1E47"/>
    <w:rsid w:val="004E233C"/>
    <w:rsid w:val="004E6B93"/>
    <w:rsid w:val="004F1A61"/>
    <w:rsid w:val="004F2B89"/>
    <w:rsid w:val="004F4CC3"/>
    <w:rsid w:val="00500CB5"/>
    <w:rsid w:val="0050626B"/>
    <w:rsid w:val="00506A3B"/>
    <w:rsid w:val="00511CE9"/>
    <w:rsid w:val="00513F6C"/>
    <w:rsid w:val="00521338"/>
    <w:rsid w:val="00522D3B"/>
    <w:rsid w:val="00530B9E"/>
    <w:rsid w:val="00533F4A"/>
    <w:rsid w:val="0053587F"/>
    <w:rsid w:val="00540F12"/>
    <w:rsid w:val="00541609"/>
    <w:rsid w:val="005423A8"/>
    <w:rsid w:val="00542E20"/>
    <w:rsid w:val="00543073"/>
    <w:rsid w:val="00543B15"/>
    <w:rsid w:val="0054672F"/>
    <w:rsid w:val="00546CE7"/>
    <w:rsid w:val="0056023C"/>
    <w:rsid w:val="00560735"/>
    <w:rsid w:val="005648DE"/>
    <w:rsid w:val="00566191"/>
    <w:rsid w:val="00571337"/>
    <w:rsid w:val="00571623"/>
    <w:rsid w:val="005737BF"/>
    <w:rsid w:val="00583EC3"/>
    <w:rsid w:val="00586094"/>
    <w:rsid w:val="00586577"/>
    <w:rsid w:val="00591972"/>
    <w:rsid w:val="00592C04"/>
    <w:rsid w:val="005949CC"/>
    <w:rsid w:val="00594D49"/>
    <w:rsid w:val="00597B18"/>
    <w:rsid w:val="005A0575"/>
    <w:rsid w:val="005A17ED"/>
    <w:rsid w:val="005A4033"/>
    <w:rsid w:val="005B0E2D"/>
    <w:rsid w:val="005B2F44"/>
    <w:rsid w:val="005B38B0"/>
    <w:rsid w:val="005B5CE0"/>
    <w:rsid w:val="005B6CDA"/>
    <w:rsid w:val="005C4E7E"/>
    <w:rsid w:val="005C527D"/>
    <w:rsid w:val="005C57B4"/>
    <w:rsid w:val="005D0748"/>
    <w:rsid w:val="005D34B5"/>
    <w:rsid w:val="005D40A0"/>
    <w:rsid w:val="005D5D08"/>
    <w:rsid w:val="005D670C"/>
    <w:rsid w:val="005E56FB"/>
    <w:rsid w:val="005E6EC7"/>
    <w:rsid w:val="005E7DFB"/>
    <w:rsid w:val="005F001C"/>
    <w:rsid w:val="005F05F7"/>
    <w:rsid w:val="005F1E9E"/>
    <w:rsid w:val="005F288E"/>
    <w:rsid w:val="005F2E0E"/>
    <w:rsid w:val="005F6731"/>
    <w:rsid w:val="00601409"/>
    <w:rsid w:val="00602268"/>
    <w:rsid w:val="00603D9C"/>
    <w:rsid w:val="00605843"/>
    <w:rsid w:val="0060679D"/>
    <w:rsid w:val="006067B4"/>
    <w:rsid w:val="00607693"/>
    <w:rsid w:val="0061070C"/>
    <w:rsid w:val="00616127"/>
    <w:rsid w:val="00622F97"/>
    <w:rsid w:val="00624946"/>
    <w:rsid w:val="0063107F"/>
    <w:rsid w:val="006344C2"/>
    <w:rsid w:val="00641D8A"/>
    <w:rsid w:val="00644332"/>
    <w:rsid w:val="006512C4"/>
    <w:rsid w:val="00651AB7"/>
    <w:rsid w:val="00651ED7"/>
    <w:rsid w:val="0065245C"/>
    <w:rsid w:val="006550D0"/>
    <w:rsid w:val="00656A05"/>
    <w:rsid w:val="006611E7"/>
    <w:rsid w:val="00663E3D"/>
    <w:rsid w:val="00667C4C"/>
    <w:rsid w:val="006740F6"/>
    <w:rsid w:val="00677602"/>
    <w:rsid w:val="006779D6"/>
    <w:rsid w:val="00677DEF"/>
    <w:rsid w:val="00680735"/>
    <w:rsid w:val="006817A3"/>
    <w:rsid w:val="00682E34"/>
    <w:rsid w:val="0068353F"/>
    <w:rsid w:val="00686A27"/>
    <w:rsid w:val="006900B3"/>
    <w:rsid w:val="00691298"/>
    <w:rsid w:val="00691F32"/>
    <w:rsid w:val="00692C6A"/>
    <w:rsid w:val="006930B0"/>
    <w:rsid w:val="00694775"/>
    <w:rsid w:val="0069600C"/>
    <w:rsid w:val="006976A4"/>
    <w:rsid w:val="00697957"/>
    <w:rsid w:val="006A1871"/>
    <w:rsid w:val="006A2604"/>
    <w:rsid w:val="006C3468"/>
    <w:rsid w:val="006C3D73"/>
    <w:rsid w:val="006C7F56"/>
    <w:rsid w:val="006D204D"/>
    <w:rsid w:val="006E041E"/>
    <w:rsid w:val="006E0FBE"/>
    <w:rsid w:val="006E22C4"/>
    <w:rsid w:val="006E4E1A"/>
    <w:rsid w:val="006F299B"/>
    <w:rsid w:val="006F4367"/>
    <w:rsid w:val="006F5B36"/>
    <w:rsid w:val="006F60B1"/>
    <w:rsid w:val="006F662F"/>
    <w:rsid w:val="006F7FB6"/>
    <w:rsid w:val="007016F6"/>
    <w:rsid w:val="00702786"/>
    <w:rsid w:val="007056CA"/>
    <w:rsid w:val="00710083"/>
    <w:rsid w:val="007140C1"/>
    <w:rsid w:val="00715357"/>
    <w:rsid w:val="00722A1D"/>
    <w:rsid w:val="0073342F"/>
    <w:rsid w:val="00737E63"/>
    <w:rsid w:val="00745A32"/>
    <w:rsid w:val="00746016"/>
    <w:rsid w:val="00750E2A"/>
    <w:rsid w:val="00752377"/>
    <w:rsid w:val="00756922"/>
    <w:rsid w:val="00757BE6"/>
    <w:rsid w:val="00761769"/>
    <w:rsid w:val="00765F18"/>
    <w:rsid w:val="00766AB1"/>
    <w:rsid w:val="0076709D"/>
    <w:rsid w:val="007713A8"/>
    <w:rsid w:val="00772945"/>
    <w:rsid w:val="00774A09"/>
    <w:rsid w:val="00775809"/>
    <w:rsid w:val="00775C91"/>
    <w:rsid w:val="00780D07"/>
    <w:rsid w:val="00781132"/>
    <w:rsid w:val="0078296D"/>
    <w:rsid w:val="00783B58"/>
    <w:rsid w:val="007841C7"/>
    <w:rsid w:val="00785595"/>
    <w:rsid w:val="00790433"/>
    <w:rsid w:val="00790FC3"/>
    <w:rsid w:val="00795B71"/>
    <w:rsid w:val="0079743E"/>
    <w:rsid w:val="007A02A3"/>
    <w:rsid w:val="007B0748"/>
    <w:rsid w:val="007B31B2"/>
    <w:rsid w:val="007B4E73"/>
    <w:rsid w:val="007C2CB3"/>
    <w:rsid w:val="007C32C1"/>
    <w:rsid w:val="007C3381"/>
    <w:rsid w:val="007D242E"/>
    <w:rsid w:val="007E133F"/>
    <w:rsid w:val="007E297F"/>
    <w:rsid w:val="007E309F"/>
    <w:rsid w:val="007E37BE"/>
    <w:rsid w:val="007E417C"/>
    <w:rsid w:val="007E6FC6"/>
    <w:rsid w:val="007F093B"/>
    <w:rsid w:val="007F165F"/>
    <w:rsid w:val="007F3CF3"/>
    <w:rsid w:val="007F5222"/>
    <w:rsid w:val="007F5539"/>
    <w:rsid w:val="007F6C9D"/>
    <w:rsid w:val="0080032D"/>
    <w:rsid w:val="0080389E"/>
    <w:rsid w:val="008063AE"/>
    <w:rsid w:val="008132D0"/>
    <w:rsid w:val="00817DC2"/>
    <w:rsid w:val="00820C04"/>
    <w:rsid w:val="00821357"/>
    <w:rsid w:val="008229B2"/>
    <w:rsid w:val="00822B87"/>
    <w:rsid w:val="00823276"/>
    <w:rsid w:val="008331AE"/>
    <w:rsid w:val="00837AEA"/>
    <w:rsid w:val="008408F7"/>
    <w:rsid w:val="00843EDA"/>
    <w:rsid w:val="00847AE8"/>
    <w:rsid w:val="00850162"/>
    <w:rsid w:val="008523C2"/>
    <w:rsid w:val="0085259E"/>
    <w:rsid w:val="00853565"/>
    <w:rsid w:val="00854F88"/>
    <w:rsid w:val="008567FF"/>
    <w:rsid w:val="0086360B"/>
    <w:rsid w:val="0086651E"/>
    <w:rsid w:val="00872CB2"/>
    <w:rsid w:val="00874537"/>
    <w:rsid w:val="00874CB0"/>
    <w:rsid w:val="00876A5B"/>
    <w:rsid w:val="008777D5"/>
    <w:rsid w:val="008800E1"/>
    <w:rsid w:val="00881168"/>
    <w:rsid w:val="008849D2"/>
    <w:rsid w:val="008963A1"/>
    <w:rsid w:val="00897CB5"/>
    <w:rsid w:val="008A0A09"/>
    <w:rsid w:val="008A1CFE"/>
    <w:rsid w:val="008A338F"/>
    <w:rsid w:val="008A40E3"/>
    <w:rsid w:val="008B0725"/>
    <w:rsid w:val="008B25FC"/>
    <w:rsid w:val="008C052C"/>
    <w:rsid w:val="008C1F84"/>
    <w:rsid w:val="008C5D54"/>
    <w:rsid w:val="008D15BE"/>
    <w:rsid w:val="008D3B1A"/>
    <w:rsid w:val="008D4103"/>
    <w:rsid w:val="008D6640"/>
    <w:rsid w:val="008E3210"/>
    <w:rsid w:val="008E737B"/>
    <w:rsid w:val="008F3519"/>
    <w:rsid w:val="008F57AE"/>
    <w:rsid w:val="008F7CE5"/>
    <w:rsid w:val="00901079"/>
    <w:rsid w:val="00913E51"/>
    <w:rsid w:val="00915388"/>
    <w:rsid w:val="009203B3"/>
    <w:rsid w:val="00920AAE"/>
    <w:rsid w:val="0092475D"/>
    <w:rsid w:val="009260F3"/>
    <w:rsid w:val="00930852"/>
    <w:rsid w:val="00942C7B"/>
    <w:rsid w:val="00945930"/>
    <w:rsid w:val="009506C2"/>
    <w:rsid w:val="009547BA"/>
    <w:rsid w:val="00954EEE"/>
    <w:rsid w:val="00955E12"/>
    <w:rsid w:val="009633D0"/>
    <w:rsid w:val="009721F9"/>
    <w:rsid w:val="00977486"/>
    <w:rsid w:val="00980A3C"/>
    <w:rsid w:val="009861CF"/>
    <w:rsid w:val="009A1241"/>
    <w:rsid w:val="009A13EB"/>
    <w:rsid w:val="009A3B95"/>
    <w:rsid w:val="009A62C9"/>
    <w:rsid w:val="009A70AB"/>
    <w:rsid w:val="009A7E91"/>
    <w:rsid w:val="009B46CF"/>
    <w:rsid w:val="009B6171"/>
    <w:rsid w:val="009C1BDA"/>
    <w:rsid w:val="009C3276"/>
    <w:rsid w:val="009D0EB5"/>
    <w:rsid w:val="009D200F"/>
    <w:rsid w:val="009D2180"/>
    <w:rsid w:val="009D3FEB"/>
    <w:rsid w:val="009D4065"/>
    <w:rsid w:val="009D699C"/>
    <w:rsid w:val="009D7ED9"/>
    <w:rsid w:val="009E2FC1"/>
    <w:rsid w:val="009E34EA"/>
    <w:rsid w:val="009E61E5"/>
    <w:rsid w:val="009E6833"/>
    <w:rsid w:val="009E7741"/>
    <w:rsid w:val="009F1BCA"/>
    <w:rsid w:val="009F3816"/>
    <w:rsid w:val="009F7BA6"/>
    <w:rsid w:val="00A024A9"/>
    <w:rsid w:val="00A029A5"/>
    <w:rsid w:val="00A05ACD"/>
    <w:rsid w:val="00A10F71"/>
    <w:rsid w:val="00A1127E"/>
    <w:rsid w:val="00A13CDA"/>
    <w:rsid w:val="00A14517"/>
    <w:rsid w:val="00A2037D"/>
    <w:rsid w:val="00A212E2"/>
    <w:rsid w:val="00A2142B"/>
    <w:rsid w:val="00A260DA"/>
    <w:rsid w:val="00A31CF3"/>
    <w:rsid w:val="00A330EB"/>
    <w:rsid w:val="00A34C7C"/>
    <w:rsid w:val="00A378EB"/>
    <w:rsid w:val="00A434D8"/>
    <w:rsid w:val="00A43722"/>
    <w:rsid w:val="00A440A0"/>
    <w:rsid w:val="00A473D5"/>
    <w:rsid w:val="00A47F0C"/>
    <w:rsid w:val="00A51D0B"/>
    <w:rsid w:val="00A522DE"/>
    <w:rsid w:val="00A546AA"/>
    <w:rsid w:val="00A54964"/>
    <w:rsid w:val="00A55395"/>
    <w:rsid w:val="00A562A1"/>
    <w:rsid w:val="00A60EDA"/>
    <w:rsid w:val="00A63FDC"/>
    <w:rsid w:val="00A700B6"/>
    <w:rsid w:val="00A75104"/>
    <w:rsid w:val="00A75B42"/>
    <w:rsid w:val="00A75FE3"/>
    <w:rsid w:val="00A822EB"/>
    <w:rsid w:val="00A82800"/>
    <w:rsid w:val="00A83C54"/>
    <w:rsid w:val="00A860FE"/>
    <w:rsid w:val="00A8644B"/>
    <w:rsid w:val="00A91218"/>
    <w:rsid w:val="00A92016"/>
    <w:rsid w:val="00A93762"/>
    <w:rsid w:val="00AA30BE"/>
    <w:rsid w:val="00AA69BC"/>
    <w:rsid w:val="00AB03FD"/>
    <w:rsid w:val="00AB0968"/>
    <w:rsid w:val="00AB1284"/>
    <w:rsid w:val="00AB63E5"/>
    <w:rsid w:val="00AB65E3"/>
    <w:rsid w:val="00AB7282"/>
    <w:rsid w:val="00AC1FBD"/>
    <w:rsid w:val="00AC5F7E"/>
    <w:rsid w:val="00AC6A65"/>
    <w:rsid w:val="00AD468F"/>
    <w:rsid w:val="00AD55C1"/>
    <w:rsid w:val="00AD5A95"/>
    <w:rsid w:val="00AD69F1"/>
    <w:rsid w:val="00AD7E6F"/>
    <w:rsid w:val="00AD7ED2"/>
    <w:rsid w:val="00AE093C"/>
    <w:rsid w:val="00AE376E"/>
    <w:rsid w:val="00AE3A7F"/>
    <w:rsid w:val="00AE4BCB"/>
    <w:rsid w:val="00AF33C5"/>
    <w:rsid w:val="00AF3832"/>
    <w:rsid w:val="00AF5611"/>
    <w:rsid w:val="00B008AD"/>
    <w:rsid w:val="00B01378"/>
    <w:rsid w:val="00B03448"/>
    <w:rsid w:val="00B0683D"/>
    <w:rsid w:val="00B1425A"/>
    <w:rsid w:val="00B22C4D"/>
    <w:rsid w:val="00B24239"/>
    <w:rsid w:val="00B25302"/>
    <w:rsid w:val="00B30877"/>
    <w:rsid w:val="00B3144A"/>
    <w:rsid w:val="00B34BE6"/>
    <w:rsid w:val="00B35DD2"/>
    <w:rsid w:val="00B35E5E"/>
    <w:rsid w:val="00B41394"/>
    <w:rsid w:val="00B41449"/>
    <w:rsid w:val="00B42511"/>
    <w:rsid w:val="00B46B6C"/>
    <w:rsid w:val="00B473D4"/>
    <w:rsid w:val="00B54168"/>
    <w:rsid w:val="00B55E80"/>
    <w:rsid w:val="00B571B8"/>
    <w:rsid w:val="00B57633"/>
    <w:rsid w:val="00B57686"/>
    <w:rsid w:val="00B60ADD"/>
    <w:rsid w:val="00B62EA9"/>
    <w:rsid w:val="00B65984"/>
    <w:rsid w:val="00B70DC6"/>
    <w:rsid w:val="00B72C4E"/>
    <w:rsid w:val="00B73CB5"/>
    <w:rsid w:val="00B75BEF"/>
    <w:rsid w:val="00B76C45"/>
    <w:rsid w:val="00B76DA7"/>
    <w:rsid w:val="00B81E96"/>
    <w:rsid w:val="00B82F43"/>
    <w:rsid w:val="00B8536B"/>
    <w:rsid w:val="00B85F35"/>
    <w:rsid w:val="00B874F3"/>
    <w:rsid w:val="00B93A57"/>
    <w:rsid w:val="00B9777D"/>
    <w:rsid w:val="00BA2465"/>
    <w:rsid w:val="00BA3C52"/>
    <w:rsid w:val="00BA538A"/>
    <w:rsid w:val="00BA66C1"/>
    <w:rsid w:val="00BA7C3D"/>
    <w:rsid w:val="00BB110E"/>
    <w:rsid w:val="00BB2F57"/>
    <w:rsid w:val="00BB3C8C"/>
    <w:rsid w:val="00BC53D9"/>
    <w:rsid w:val="00BC644A"/>
    <w:rsid w:val="00BC7CB9"/>
    <w:rsid w:val="00BD0F37"/>
    <w:rsid w:val="00BD12A3"/>
    <w:rsid w:val="00BD3165"/>
    <w:rsid w:val="00BD36AC"/>
    <w:rsid w:val="00BD758A"/>
    <w:rsid w:val="00BE3D52"/>
    <w:rsid w:val="00BE42EF"/>
    <w:rsid w:val="00BE61DF"/>
    <w:rsid w:val="00BF00C7"/>
    <w:rsid w:val="00BF1695"/>
    <w:rsid w:val="00BF19AC"/>
    <w:rsid w:val="00BF412E"/>
    <w:rsid w:val="00BF6CEF"/>
    <w:rsid w:val="00C00173"/>
    <w:rsid w:val="00C02DD4"/>
    <w:rsid w:val="00C03C48"/>
    <w:rsid w:val="00C046D3"/>
    <w:rsid w:val="00C07193"/>
    <w:rsid w:val="00C11BDE"/>
    <w:rsid w:val="00C12062"/>
    <w:rsid w:val="00C14356"/>
    <w:rsid w:val="00C150B9"/>
    <w:rsid w:val="00C20AA7"/>
    <w:rsid w:val="00C24578"/>
    <w:rsid w:val="00C24F34"/>
    <w:rsid w:val="00C25D86"/>
    <w:rsid w:val="00C277FC"/>
    <w:rsid w:val="00C33880"/>
    <w:rsid w:val="00C344C4"/>
    <w:rsid w:val="00C42F14"/>
    <w:rsid w:val="00C504E4"/>
    <w:rsid w:val="00C514E7"/>
    <w:rsid w:val="00C5581C"/>
    <w:rsid w:val="00C618C5"/>
    <w:rsid w:val="00C624A2"/>
    <w:rsid w:val="00C6342D"/>
    <w:rsid w:val="00C63465"/>
    <w:rsid w:val="00C67CD4"/>
    <w:rsid w:val="00C67CE8"/>
    <w:rsid w:val="00C70758"/>
    <w:rsid w:val="00C817A3"/>
    <w:rsid w:val="00C93EB5"/>
    <w:rsid w:val="00CA26DF"/>
    <w:rsid w:val="00CB4B93"/>
    <w:rsid w:val="00CB4C50"/>
    <w:rsid w:val="00CB5360"/>
    <w:rsid w:val="00CC277B"/>
    <w:rsid w:val="00CC4FE7"/>
    <w:rsid w:val="00CC60B6"/>
    <w:rsid w:val="00CD04AC"/>
    <w:rsid w:val="00CD16D7"/>
    <w:rsid w:val="00CD1BE4"/>
    <w:rsid w:val="00CD3365"/>
    <w:rsid w:val="00CD40FF"/>
    <w:rsid w:val="00CD4776"/>
    <w:rsid w:val="00CD5643"/>
    <w:rsid w:val="00CD686D"/>
    <w:rsid w:val="00CD754B"/>
    <w:rsid w:val="00CE14B2"/>
    <w:rsid w:val="00CE14FA"/>
    <w:rsid w:val="00CE22D3"/>
    <w:rsid w:val="00CE483B"/>
    <w:rsid w:val="00CE49F3"/>
    <w:rsid w:val="00CF0CF7"/>
    <w:rsid w:val="00CF0D8D"/>
    <w:rsid w:val="00CF7065"/>
    <w:rsid w:val="00CF74EE"/>
    <w:rsid w:val="00CF7639"/>
    <w:rsid w:val="00CF77A5"/>
    <w:rsid w:val="00CF7A6C"/>
    <w:rsid w:val="00D03A78"/>
    <w:rsid w:val="00D05F64"/>
    <w:rsid w:val="00D0666D"/>
    <w:rsid w:val="00D12586"/>
    <w:rsid w:val="00D13515"/>
    <w:rsid w:val="00D15B29"/>
    <w:rsid w:val="00D15BEF"/>
    <w:rsid w:val="00D16EAE"/>
    <w:rsid w:val="00D204DC"/>
    <w:rsid w:val="00D226CF"/>
    <w:rsid w:val="00D23336"/>
    <w:rsid w:val="00D243A3"/>
    <w:rsid w:val="00D248A3"/>
    <w:rsid w:val="00D3767C"/>
    <w:rsid w:val="00D4463C"/>
    <w:rsid w:val="00D5128D"/>
    <w:rsid w:val="00D52C47"/>
    <w:rsid w:val="00D5615C"/>
    <w:rsid w:val="00D574B7"/>
    <w:rsid w:val="00D63D33"/>
    <w:rsid w:val="00D63D79"/>
    <w:rsid w:val="00D67455"/>
    <w:rsid w:val="00D70C03"/>
    <w:rsid w:val="00D81EC2"/>
    <w:rsid w:val="00D901AA"/>
    <w:rsid w:val="00D94387"/>
    <w:rsid w:val="00D96025"/>
    <w:rsid w:val="00DA00B3"/>
    <w:rsid w:val="00DA19D2"/>
    <w:rsid w:val="00DA1EBF"/>
    <w:rsid w:val="00DA2332"/>
    <w:rsid w:val="00DB05E7"/>
    <w:rsid w:val="00DB49E2"/>
    <w:rsid w:val="00DB656A"/>
    <w:rsid w:val="00DC1F2B"/>
    <w:rsid w:val="00DC5452"/>
    <w:rsid w:val="00DC788A"/>
    <w:rsid w:val="00DD0DA6"/>
    <w:rsid w:val="00DD3186"/>
    <w:rsid w:val="00DE219C"/>
    <w:rsid w:val="00DE22F2"/>
    <w:rsid w:val="00DE5E80"/>
    <w:rsid w:val="00DE7D08"/>
    <w:rsid w:val="00DF5B6F"/>
    <w:rsid w:val="00E020EF"/>
    <w:rsid w:val="00E02670"/>
    <w:rsid w:val="00E04863"/>
    <w:rsid w:val="00E10000"/>
    <w:rsid w:val="00E16888"/>
    <w:rsid w:val="00E16C26"/>
    <w:rsid w:val="00E268FE"/>
    <w:rsid w:val="00E2734B"/>
    <w:rsid w:val="00E27DE1"/>
    <w:rsid w:val="00E3398E"/>
    <w:rsid w:val="00E37AA9"/>
    <w:rsid w:val="00E40126"/>
    <w:rsid w:val="00E41408"/>
    <w:rsid w:val="00E43857"/>
    <w:rsid w:val="00E44A12"/>
    <w:rsid w:val="00E44F83"/>
    <w:rsid w:val="00E55C70"/>
    <w:rsid w:val="00E56C0C"/>
    <w:rsid w:val="00E57F0A"/>
    <w:rsid w:val="00E64817"/>
    <w:rsid w:val="00E64A0C"/>
    <w:rsid w:val="00E66480"/>
    <w:rsid w:val="00E707E9"/>
    <w:rsid w:val="00E70B09"/>
    <w:rsid w:val="00E822C3"/>
    <w:rsid w:val="00E83C84"/>
    <w:rsid w:val="00E903F2"/>
    <w:rsid w:val="00E907A2"/>
    <w:rsid w:val="00E925D9"/>
    <w:rsid w:val="00E972D8"/>
    <w:rsid w:val="00EB395C"/>
    <w:rsid w:val="00EB44D9"/>
    <w:rsid w:val="00ED0712"/>
    <w:rsid w:val="00ED408C"/>
    <w:rsid w:val="00ED4138"/>
    <w:rsid w:val="00ED5B81"/>
    <w:rsid w:val="00ED6E05"/>
    <w:rsid w:val="00EE0E8F"/>
    <w:rsid w:val="00EE25A5"/>
    <w:rsid w:val="00EE2A08"/>
    <w:rsid w:val="00EE60CB"/>
    <w:rsid w:val="00EF1276"/>
    <w:rsid w:val="00EF2067"/>
    <w:rsid w:val="00EF7D73"/>
    <w:rsid w:val="00F015F7"/>
    <w:rsid w:val="00F056EF"/>
    <w:rsid w:val="00F11AE9"/>
    <w:rsid w:val="00F1311B"/>
    <w:rsid w:val="00F1586F"/>
    <w:rsid w:val="00F15DF5"/>
    <w:rsid w:val="00F16DE1"/>
    <w:rsid w:val="00F178AB"/>
    <w:rsid w:val="00F20262"/>
    <w:rsid w:val="00F22E37"/>
    <w:rsid w:val="00F241E7"/>
    <w:rsid w:val="00F25927"/>
    <w:rsid w:val="00F25DF7"/>
    <w:rsid w:val="00F25EC3"/>
    <w:rsid w:val="00F26CD5"/>
    <w:rsid w:val="00F27999"/>
    <w:rsid w:val="00F3370A"/>
    <w:rsid w:val="00F338B1"/>
    <w:rsid w:val="00F37AE1"/>
    <w:rsid w:val="00F408E1"/>
    <w:rsid w:val="00F41E5C"/>
    <w:rsid w:val="00F6015B"/>
    <w:rsid w:val="00F61907"/>
    <w:rsid w:val="00F61E60"/>
    <w:rsid w:val="00F65F87"/>
    <w:rsid w:val="00F71812"/>
    <w:rsid w:val="00F7310E"/>
    <w:rsid w:val="00F74955"/>
    <w:rsid w:val="00F75155"/>
    <w:rsid w:val="00F76AEC"/>
    <w:rsid w:val="00F83644"/>
    <w:rsid w:val="00F873BB"/>
    <w:rsid w:val="00F91200"/>
    <w:rsid w:val="00F9755C"/>
    <w:rsid w:val="00FA58A4"/>
    <w:rsid w:val="00FA5AA6"/>
    <w:rsid w:val="00FB5B5B"/>
    <w:rsid w:val="00FC248D"/>
    <w:rsid w:val="00FD455A"/>
    <w:rsid w:val="00FD6A27"/>
    <w:rsid w:val="00FD7548"/>
    <w:rsid w:val="00FE148B"/>
    <w:rsid w:val="00FE274A"/>
    <w:rsid w:val="00FE3A1B"/>
    <w:rsid w:val="00FE6024"/>
    <w:rsid w:val="00FE7992"/>
    <w:rsid w:val="00FF15F6"/>
    <w:rsid w:val="00FF2D81"/>
    <w:rsid w:val="00FF3DD4"/>
    <w:rsid w:val="00FF49AD"/>
    <w:rsid w:val="00FF5AE9"/>
    <w:rsid w:val="00FF7020"/>
    <w:rsid w:val="00FF778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37EAF8"/>
  <w15:chartTrackingRefBased/>
  <w15:docId w15:val="{2A3F20DF-59F6-4246-B46C-2EEA05716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1435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84E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84E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384E1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E4D5C"/>
    <w:rPr>
      <w:color w:val="0563C1" w:themeColor="hyperlink"/>
      <w:u w:val="single"/>
    </w:rPr>
  </w:style>
  <w:style w:type="character" w:styleId="a4">
    <w:name w:val="FollowedHyperlink"/>
    <w:basedOn w:val="a0"/>
    <w:uiPriority w:val="99"/>
    <w:semiHidden/>
    <w:unhideWhenUsed/>
    <w:rsid w:val="000E4D5C"/>
    <w:rPr>
      <w:color w:val="954F72" w:themeColor="followedHyperlink"/>
      <w:u w:val="single"/>
    </w:rPr>
  </w:style>
  <w:style w:type="paragraph" w:styleId="a5">
    <w:name w:val="Subtitle"/>
    <w:basedOn w:val="a"/>
    <w:next w:val="a"/>
    <w:link w:val="a6"/>
    <w:uiPriority w:val="11"/>
    <w:qFormat/>
    <w:rsid w:val="004E233C"/>
    <w:pPr>
      <w:numPr>
        <w:ilvl w:val="1"/>
      </w:numPr>
    </w:pPr>
    <w:rPr>
      <w:rFonts w:eastAsiaTheme="minorEastAsia"/>
      <w:color w:val="5A5A5A" w:themeColor="text1" w:themeTint="A5"/>
      <w:spacing w:val="15"/>
    </w:rPr>
  </w:style>
  <w:style w:type="character" w:customStyle="1" w:styleId="a6">
    <w:name w:val="Подзаголовок Знак"/>
    <w:basedOn w:val="a0"/>
    <w:link w:val="a5"/>
    <w:uiPriority w:val="11"/>
    <w:rsid w:val="004E233C"/>
    <w:rPr>
      <w:rFonts w:eastAsiaTheme="minorEastAsia"/>
      <w:color w:val="5A5A5A" w:themeColor="text1" w:themeTint="A5"/>
      <w:spacing w:val="15"/>
    </w:rPr>
  </w:style>
  <w:style w:type="character" w:customStyle="1" w:styleId="10">
    <w:name w:val="Заголовок 1 Знак"/>
    <w:basedOn w:val="a0"/>
    <w:link w:val="1"/>
    <w:uiPriority w:val="9"/>
    <w:rsid w:val="00C14356"/>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384E13"/>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384E13"/>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384E13"/>
    <w:rPr>
      <w:rFonts w:asciiTheme="majorHAnsi" w:eastAsiaTheme="majorEastAsia" w:hAnsiTheme="majorHAnsi" w:cstheme="majorBidi"/>
      <w:i/>
      <w:iCs/>
      <w:color w:val="2E74B5" w:themeColor="accent1" w:themeShade="BF"/>
    </w:rPr>
  </w:style>
  <w:style w:type="paragraph" w:styleId="a7">
    <w:name w:val="List Paragraph"/>
    <w:basedOn w:val="a"/>
    <w:uiPriority w:val="34"/>
    <w:qFormat/>
    <w:rsid w:val="00AC5F7E"/>
    <w:pPr>
      <w:ind w:left="720"/>
      <w:contextualSpacing/>
    </w:pPr>
  </w:style>
  <w:style w:type="character" w:styleId="a8">
    <w:name w:val="Emphasis"/>
    <w:basedOn w:val="a0"/>
    <w:uiPriority w:val="20"/>
    <w:qFormat/>
    <w:rsid w:val="00CD16D7"/>
    <w:rPr>
      <w:i/>
      <w:iCs/>
    </w:rPr>
  </w:style>
  <w:style w:type="paragraph" w:styleId="a9">
    <w:name w:val="header"/>
    <w:basedOn w:val="a"/>
    <w:link w:val="aa"/>
    <w:uiPriority w:val="99"/>
    <w:unhideWhenUsed/>
    <w:rsid w:val="00E972D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972D8"/>
  </w:style>
  <w:style w:type="paragraph" w:styleId="ab">
    <w:name w:val="footer"/>
    <w:basedOn w:val="a"/>
    <w:link w:val="ac"/>
    <w:uiPriority w:val="99"/>
    <w:unhideWhenUsed/>
    <w:rsid w:val="00E972D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972D8"/>
  </w:style>
  <w:style w:type="paragraph" w:styleId="ad">
    <w:name w:val="List Bullet"/>
    <w:basedOn w:val="a"/>
    <w:uiPriority w:val="99"/>
    <w:unhideWhenUsed/>
    <w:rsid w:val="00663E3D"/>
    <w:pPr>
      <w:contextualSpacing/>
    </w:pPr>
  </w:style>
  <w:style w:type="character" w:styleId="ae">
    <w:name w:val="Strong"/>
    <w:basedOn w:val="a0"/>
    <w:uiPriority w:val="22"/>
    <w:qFormat/>
    <w:rsid w:val="004A5224"/>
    <w:rPr>
      <w:b/>
      <w:bCs/>
    </w:rPr>
  </w:style>
  <w:style w:type="paragraph" w:styleId="af">
    <w:name w:val="Title"/>
    <w:basedOn w:val="a"/>
    <w:next w:val="a"/>
    <w:link w:val="af0"/>
    <w:uiPriority w:val="10"/>
    <w:qFormat/>
    <w:rsid w:val="004B1DF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f"/>
    <w:uiPriority w:val="10"/>
    <w:rsid w:val="004B1DF8"/>
    <w:rPr>
      <w:rFonts w:asciiTheme="majorHAnsi" w:eastAsiaTheme="majorEastAsia" w:hAnsiTheme="majorHAnsi" w:cstheme="majorBidi"/>
      <w:spacing w:val="-10"/>
      <w:kern w:val="28"/>
      <w:sz w:val="56"/>
      <w:szCs w:val="56"/>
    </w:rPr>
  </w:style>
  <w:style w:type="paragraph" w:styleId="af1">
    <w:name w:val="Normal (Web)"/>
    <w:basedOn w:val="a"/>
    <w:uiPriority w:val="99"/>
    <w:semiHidden/>
    <w:unhideWhenUsed/>
    <w:rsid w:val="00CD3365"/>
    <w:rPr>
      <w:rFonts w:ascii="Times New Roman" w:hAnsi="Times New Roman" w:cs="Times New Roman"/>
      <w:sz w:val="24"/>
      <w:szCs w:val="24"/>
    </w:rPr>
  </w:style>
  <w:style w:type="table" w:styleId="af2">
    <w:name w:val="Table Grid"/>
    <w:basedOn w:val="a1"/>
    <w:uiPriority w:val="39"/>
    <w:rsid w:val="005C4E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footnote text"/>
    <w:basedOn w:val="a"/>
    <w:link w:val="af4"/>
    <w:uiPriority w:val="99"/>
    <w:semiHidden/>
    <w:unhideWhenUsed/>
    <w:rsid w:val="00AB65E3"/>
    <w:pPr>
      <w:spacing w:after="0" w:line="240" w:lineRule="auto"/>
    </w:pPr>
    <w:rPr>
      <w:sz w:val="20"/>
      <w:szCs w:val="20"/>
    </w:rPr>
  </w:style>
  <w:style w:type="character" w:customStyle="1" w:styleId="af4">
    <w:name w:val="Текст сноски Знак"/>
    <w:basedOn w:val="a0"/>
    <w:link w:val="af3"/>
    <w:uiPriority w:val="99"/>
    <w:semiHidden/>
    <w:rsid w:val="00AB65E3"/>
    <w:rPr>
      <w:sz w:val="20"/>
      <w:szCs w:val="20"/>
    </w:rPr>
  </w:style>
  <w:style w:type="character" w:styleId="af5">
    <w:name w:val="footnote reference"/>
    <w:aliases w:val="SUPERS,Знак сноски 1,Odwołanie przypisu,Footnote symbol,Знак сноски-FN,Ciae niinee-FN,Referencia nota al pie,fr,Used by Word for Help footnote symbols,Ciae niinee 1,EN Footnote Reference,Footnote Reference Number,(Diplomarbeit FZ),зс"/>
    <w:basedOn w:val="a0"/>
    <w:uiPriority w:val="99"/>
    <w:unhideWhenUsed/>
    <w:rsid w:val="00AB65E3"/>
    <w:rPr>
      <w:vertAlign w:val="superscript"/>
    </w:rPr>
  </w:style>
  <w:style w:type="character" w:customStyle="1" w:styleId="11">
    <w:name w:val="Гиперссылка1"/>
    <w:basedOn w:val="a0"/>
    <w:uiPriority w:val="99"/>
    <w:unhideWhenUsed/>
    <w:rsid w:val="00AB65E3"/>
    <w:rPr>
      <w:color w:val="0000FF"/>
      <w:u w:val="single"/>
    </w:rPr>
  </w:style>
  <w:style w:type="table" w:customStyle="1" w:styleId="12">
    <w:name w:val="Сетка таблицы1"/>
    <w:basedOn w:val="a1"/>
    <w:next w:val="af2"/>
    <w:uiPriority w:val="39"/>
    <w:rsid w:val="00847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link w:val="af7"/>
    <w:uiPriority w:val="1"/>
    <w:qFormat/>
    <w:rsid w:val="001C240B"/>
    <w:pPr>
      <w:spacing w:after="0" w:line="240" w:lineRule="auto"/>
    </w:pPr>
    <w:rPr>
      <w:rFonts w:eastAsiaTheme="minorEastAsia"/>
      <w:lang w:eastAsia="ru-RU"/>
    </w:rPr>
  </w:style>
  <w:style w:type="character" w:customStyle="1" w:styleId="af7">
    <w:name w:val="Без интервала Знак"/>
    <w:basedOn w:val="a0"/>
    <w:link w:val="af6"/>
    <w:uiPriority w:val="1"/>
    <w:rsid w:val="001C240B"/>
    <w:rPr>
      <w:rFonts w:eastAsiaTheme="minorEastAsia"/>
      <w:lang w:eastAsia="ru-RU"/>
    </w:rPr>
  </w:style>
  <w:style w:type="character" w:styleId="af8">
    <w:name w:val="Intense Emphasis"/>
    <w:basedOn w:val="a0"/>
    <w:uiPriority w:val="21"/>
    <w:qFormat/>
    <w:rsid w:val="00DB656A"/>
    <w:rPr>
      <w:i/>
      <w:iCs/>
      <w:color w:val="5B9BD5" w:themeColor="accent1"/>
    </w:rPr>
  </w:style>
  <w:style w:type="paragraph" w:styleId="af9">
    <w:name w:val="TOC Heading"/>
    <w:basedOn w:val="1"/>
    <w:next w:val="a"/>
    <w:uiPriority w:val="39"/>
    <w:unhideWhenUsed/>
    <w:qFormat/>
    <w:rsid w:val="00DB656A"/>
    <w:pPr>
      <w:outlineLvl w:val="9"/>
    </w:pPr>
    <w:rPr>
      <w:lang w:eastAsia="ru-RU"/>
    </w:rPr>
  </w:style>
  <w:style w:type="paragraph" w:styleId="13">
    <w:name w:val="toc 1"/>
    <w:basedOn w:val="a"/>
    <w:next w:val="a"/>
    <w:autoRedefine/>
    <w:uiPriority w:val="39"/>
    <w:unhideWhenUsed/>
    <w:rsid w:val="00DB656A"/>
    <w:pPr>
      <w:spacing w:after="100"/>
    </w:pPr>
  </w:style>
  <w:style w:type="paragraph" w:styleId="afa">
    <w:name w:val="Balloon Text"/>
    <w:basedOn w:val="a"/>
    <w:link w:val="afb"/>
    <w:uiPriority w:val="99"/>
    <w:semiHidden/>
    <w:unhideWhenUsed/>
    <w:rsid w:val="001F4853"/>
    <w:pPr>
      <w:spacing w:after="0" w:line="240" w:lineRule="auto"/>
    </w:pPr>
    <w:rPr>
      <w:rFonts w:ascii="Times New Roman" w:hAnsi="Times New Roman" w:cs="Times New Roman"/>
      <w:sz w:val="26"/>
      <w:szCs w:val="26"/>
    </w:rPr>
  </w:style>
  <w:style w:type="character" w:customStyle="1" w:styleId="afb">
    <w:name w:val="Текст выноски Знак"/>
    <w:basedOn w:val="a0"/>
    <w:link w:val="afa"/>
    <w:uiPriority w:val="99"/>
    <w:semiHidden/>
    <w:rsid w:val="001F4853"/>
    <w:rPr>
      <w:rFonts w:ascii="Times New Roman" w:hAnsi="Times New Roman" w:cs="Times New Roman"/>
      <w:sz w:val="26"/>
      <w:szCs w:val="26"/>
    </w:rPr>
  </w:style>
  <w:style w:type="character" w:styleId="afc">
    <w:name w:val="annotation reference"/>
    <w:basedOn w:val="a0"/>
    <w:uiPriority w:val="99"/>
    <w:semiHidden/>
    <w:unhideWhenUsed/>
    <w:rsid w:val="001F4853"/>
    <w:rPr>
      <w:sz w:val="16"/>
      <w:szCs w:val="16"/>
    </w:rPr>
  </w:style>
  <w:style w:type="paragraph" w:styleId="afd">
    <w:name w:val="annotation text"/>
    <w:basedOn w:val="a"/>
    <w:link w:val="afe"/>
    <w:uiPriority w:val="99"/>
    <w:semiHidden/>
    <w:unhideWhenUsed/>
    <w:rsid w:val="001F4853"/>
    <w:pPr>
      <w:spacing w:line="240" w:lineRule="auto"/>
    </w:pPr>
    <w:rPr>
      <w:sz w:val="20"/>
      <w:szCs w:val="20"/>
    </w:rPr>
  </w:style>
  <w:style w:type="character" w:customStyle="1" w:styleId="afe">
    <w:name w:val="Текст примечания Знак"/>
    <w:basedOn w:val="a0"/>
    <w:link w:val="afd"/>
    <w:uiPriority w:val="99"/>
    <w:semiHidden/>
    <w:rsid w:val="001F4853"/>
    <w:rPr>
      <w:sz w:val="20"/>
      <w:szCs w:val="20"/>
    </w:rPr>
  </w:style>
  <w:style w:type="paragraph" w:styleId="aff">
    <w:name w:val="annotation subject"/>
    <w:basedOn w:val="afd"/>
    <w:next w:val="afd"/>
    <w:link w:val="aff0"/>
    <w:uiPriority w:val="99"/>
    <w:semiHidden/>
    <w:unhideWhenUsed/>
    <w:rsid w:val="001F4853"/>
    <w:rPr>
      <w:b/>
      <w:bCs/>
    </w:rPr>
  </w:style>
  <w:style w:type="character" w:customStyle="1" w:styleId="aff0">
    <w:name w:val="Тема примечания Знак"/>
    <w:basedOn w:val="afe"/>
    <w:link w:val="aff"/>
    <w:uiPriority w:val="99"/>
    <w:semiHidden/>
    <w:rsid w:val="001F4853"/>
    <w:rPr>
      <w:b/>
      <w:bCs/>
      <w:sz w:val="20"/>
      <w:szCs w:val="20"/>
    </w:rPr>
  </w:style>
  <w:style w:type="paragraph" w:styleId="aff1">
    <w:name w:val="Revision"/>
    <w:hidden/>
    <w:uiPriority w:val="99"/>
    <w:semiHidden/>
    <w:rsid w:val="000557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77120">
      <w:bodyDiv w:val="1"/>
      <w:marLeft w:val="0"/>
      <w:marRight w:val="0"/>
      <w:marTop w:val="0"/>
      <w:marBottom w:val="0"/>
      <w:divBdr>
        <w:top w:val="none" w:sz="0" w:space="0" w:color="auto"/>
        <w:left w:val="none" w:sz="0" w:space="0" w:color="auto"/>
        <w:bottom w:val="none" w:sz="0" w:space="0" w:color="auto"/>
        <w:right w:val="none" w:sz="0" w:space="0" w:color="auto"/>
      </w:divBdr>
      <w:divsChild>
        <w:div w:id="34737250">
          <w:marLeft w:val="360"/>
          <w:marRight w:val="0"/>
          <w:marTop w:val="200"/>
          <w:marBottom w:val="0"/>
          <w:divBdr>
            <w:top w:val="none" w:sz="0" w:space="0" w:color="auto"/>
            <w:left w:val="none" w:sz="0" w:space="0" w:color="auto"/>
            <w:bottom w:val="none" w:sz="0" w:space="0" w:color="auto"/>
            <w:right w:val="none" w:sz="0" w:space="0" w:color="auto"/>
          </w:divBdr>
        </w:div>
        <w:div w:id="52318582">
          <w:marLeft w:val="360"/>
          <w:marRight w:val="0"/>
          <w:marTop w:val="200"/>
          <w:marBottom w:val="0"/>
          <w:divBdr>
            <w:top w:val="none" w:sz="0" w:space="0" w:color="auto"/>
            <w:left w:val="none" w:sz="0" w:space="0" w:color="auto"/>
            <w:bottom w:val="none" w:sz="0" w:space="0" w:color="auto"/>
            <w:right w:val="none" w:sz="0" w:space="0" w:color="auto"/>
          </w:divBdr>
        </w:div>
        <w:div w:id="874585403">
          <w:marLeft w:val="360"/>
          <w:marRight w:val="0"/>
          <w:marTop w:val="200"/>
          <w:marBottom w:val="0"/>
          <w:divBdr>
            <w:top w:val="none" w:sz="0" w:space="0" w:color="auto"/>
            <w:left w:val="none" w:sz="0" w:space="0" w:color="auto"/>
            <w:bottom w:val="none" w:sz="0" w:space="0" w:color="auto"/>
            <w:right w:val="none" w:sz="0" w:space="0" w:color="auto"/>
          </w:divBdr>
        </w:div>
        <w:div w:id="1223129080">
          <w:marLeft w:val="360"/>
          <w:marRight w:val="0"/>
          <w:marTop w:val="200"/>
          <w:marBottom w:val="0"/>
          <w:divBdr>
            <w:top w:val="none" w:sz="0" w:space="0" w:color="auto"/>
            <w:left w:val="none" w:sz="0" w:space="0" w:color="auto"/>
            <w:bottom w:val="none" w:sz="0" w:space="0" w:color="auto"/>
            <w:right w:val="none" w:sz="0" w:space="0" w:color="auto"/>
          </w:divBdr>
        </w:div>
        <w:div w:id="1329093363">
          <w:marLeft w:val="360"/>
          <w:marRight w:val="0"/>
          <w:marTop w:val="200"/>
          <w:marBottom w:val="0"/>
          <w:divBdr>
            <w:top w:val="none" w:sz="0" w:space="0" w:color="auto"/>
            <w:left w:val="none" w:sz="0" w:space="0" w:color="auto"/>
            <w:bottom w:val="none" w:sz="0" w:space="0" w:color="auto"/>
            <w:right w:val="none" w:sz="0" w:space="0" w:color="auto"/>
          </w:divBdr>
        </w:div>
        <w:div w:id="1404449757">
          <w:marLeft w:val="360"/>
          <w:marRight w:val="0"/>
          <w:marTop w:val="200"/>
          <w:marBottom w:val="0"/>
          <w:divBdr>
            <w:top w:val="none" w:sz="0" w:space="0" w:color="auto"/>
            <w:left w:val="none" w:sz="0" w:space="0" w:color="auto"/>
            <w:bottom w:val="none" w:sz="0" w:space="0" w:color="auto"/>
            <w:right w:val="none" w:sz="0" w:space="0" w:color="auto"/>
          </w:divBdr>
        </w:div>
      </w:divsChild>
    </w:div>
    <w:div w:id="249700648">
      <w:bodyDiv w:val="1"/>
      <w:marLeft w:val="0"/>
      <w:marRight w:val="0"/>
      <w:marTop w:val="0"/>
      <w:marBottom w:val="0"/>
      <w:divBdr>
        <w:top w:val="none" w:sz="0" w:space="0" w:color="auto"/>
        <w:left w:val="none" w:sz="0" w:space="0" w:color="auto"/>
        <w:bottom w:val="none" w:sz="0" w:space="0" w:color="auto"/>
        <w:right w:val="none" w:sz="0" w:space="0" w:color="auto"/>
      </w:divBdr>
    </w:div>
    <w:div w:id="288827408">
      <w:bodyDiv w:val="1"/>
      <w:marLeft w:val="0"/>
      <w:marRight w:val="0"/>
      <w:marTop w:val="0"/>
      <w:marBottom w:val="0"/>
      <w:divBdr>
        <w:top w:val="none" w:sz="0" w:space="0" w:color="auto"/>
        <w:left w:val="none" w:sz="0" w:space="0" w:color="auto"/>
        <w:bottom w:val="none" w:sz="0" w:space="0" w:color="auto"/>
        <w:right w:val="none" w:sz="0" w:space="0" w:color="auto"/>
      </w:divBdr>
      <w:divsChild>
        <w:div w:id="8724079">
          <w:marLeft w:val="547"/>
          <w:marRight w:val="0"/>
          <w:marTop w:val="0"/>
          <w:marBottom w:val="0"/>
          <w:divBdr>
            <w:top w:val="none" w:sz="0" w:space="0" w:color="auto"/>
            <w:left w:val="none" w:sz="0" w:space="0" w:color="auto"/>
            <w:bottom w:val="none" w:sz="0" w:space="0" w:color="auto"/>
            <w:right w:val="none" w:sz="0" w:space="0" w:color="auto"/>
          </w:divBdr>
        </w:div>
        <w:div w:id="240799061">
          <w:marLeft w:val="547"/>
          <w:marRight w:val="0"/>
          <w:marTop w:val="0"/>
          <w:marBottom w:val="0"/>
          <w:divBdr>
            <w:top w:val="none" w:sz="0" w:space="0" w:color="auto"/>
            <w:left w:val="none" w:sz="0" w:space="0" w:color="auto"/>
            <w:bottom w:val="none" w:sz="0" w:space="0" w:color="auto"/>
            <w:right w:val="none" w:sz="0" w:space="0" w:color="auto"/>
          </w:divBdr>
        </w:div>
        <w:div w:id="1766683028">
          <w:marLeft w:val="0"/>
          <w:marRight w:val="0"/>
          <w:marTop w:val="0"/>
          <w:marBottom w:val="0"/>
          <w:divBdr>
            <w:top w:val="none" w:sz="0" w:space="0" w:color="auto"/>
            <w:left w:val="none" w:sz="0" w:space="0" w:color="auto"/>
            <w:bottom w:val="none" w:sz="0" w:space="0" w:color="auto"/>
            <w:right w:val="none" w:sz="0" w:space="0" w:color="auto"/>
          </w:divBdr>
        </w:div>
        <w:div w:id="1882086957">
          <w:marLeft w:val="547"/>
          <w:marRight w:val="0"/>
          <w:marTop w:val="0"/>
          <w:marBottom w:val="0"/>
          <w:divBdr>
            <w:top w:val="none" w:sz="0" w:space="0" w:color="auto"/>
            <w:left w:val="none" w:sz="0" w:space="0" w:color="auto"/>
            <w:bottom w:val="none" w:sz="0" w:space="0" w:color="auto"/>
            <w:right w:val="none" w:sz="0" w:space="0" w:color="auto"/>
          </w:divBdr>
        </w:div>
        <w:div w:id="1911770127">
          <w:marLeft w:val="547"/>
          <w:marRight w:val="0"/>
          <w:marTop w:val="0"/>
          <w:marBottom w:val="0"/>
          <w:divBdr>
            <w:top w:val="none" w:sz="0" w:space="0" w:color="auto"/>
            <w:left w:val="none" w:sz="0" w:space="0" w:color="auto"/>
            <w:bottom w:val="none" w:sz="0" w:space="0" w:color="auto"/>
            <w:right w:val="none" w:sz="0" w:space="0" w:color="auto"/>
          </w:divBdr>
        </w:div>
      </w:divsChild>
    </w:div>
    <w:div w:id="366612945">
      <w:bodyDiv w:val="1"/>
      <w:marLeft w:val="0"/>
      <w:marRight w:val="0"/>
      <w:marTop w:val="0"/>
      <w:marBottom w:val="0"/>
      <w:divBdr>
        <w:top w:val="none" w:sz="0" w:space="0" w:color="auto"/>
        <w:left w:val="none" w:sz="0" w:space="0" w:color="auto"/>
        <w:bottom w:val="none" w:sz="0" w:space="0" w:color="auto"/>
        <w:right w:val="none" w:sz="0" w:space="0" w:color="auto"/>
      </w:divBdr>
    </w:div>
    <w:div w:id="391273158">
      <w:bodyDiv w:val="1"/>
      <w:marLeft w:val="0"/>
      <w:marRight w:val="0"/>
      <w:marTop w:val="0"/>
      <w:marBottom w:val="0"/>
      <w:divBdr>
        <w:top w:val="none" w:sz="0" w:space="0" w:color="auto"/>
        <w:left w:val="none" w:sz="0" w:space="0" w:color="auto"/>
        <w:bottom w:val="none" w:sz="0" w:space="0" w:color="auto"/>
        <w:right w:val="none" w:sz="0" w:space="0" w:color="auto"/>
      </w:divBdr>
    </w:div>
    <w:div w:id="506331686">
      <w:bodyDiv w:val="1"/>
      <w:marLeft w:val="0"/>
      <w:marRight w:val="0"/>
      <w:marTop w:val="0"/>
      <w:marBottom w:val="0"/>
      <w:divBdr>
        <w:top w:val="none" w:sz="0" w:space="0" w:color="auto"/>
        <w:left w:val="none" w:sz="0" w:space="0" w:color="auto"/>
        <w:bottom w:val="none" w:sz="0" w:space="0" w:color="auto"/>
        <w:right w:val="none" w:sz="0" w:space="0" w:color="auto"/>
      </w:divBdr>
    </w:div>
    <w:div w:id="545529050">
      <w:bodyDiv w:val="1"/>
      <w:marLeft w:val="0"/>
      <w:marRight w:val="0"/>
      <w:marTop w:val="0"/>
      <w:marBottom w:val="0"/>
      <w:divBdr>
        <w:top w:val="none" w:sz="0" w:space="0" w:color="auto"/>
        <w:left w:val="none" w:sz="0" w:space="0" w:color="auto"/>
        <w:bottom w:val="none" w:sz="0" w:space="0" w:color="auto"/>
        <w:right w:val="none" w:sz="0" w:space="0" w:color="auto"/>
      </w:divBdr>
    </w:div>
    <w:div w:id="574433136">
      <w:bodyDiv w:val="1"/>
      <w:marLeft w:val="0"/>
      <w:marRight w:val="0"/>
      <w:marTop w:val="0"/>
      <w:marBottom w:val="0"/>
      <w:divBdr>
        <w:top w:val="none" w:sz="0" w:space="0" w:color="auto"/>
        <w:left w:val="none" w:sz="0" w:space="0" w:color="auto"/>
        <w:bottom w:val="none" w:sz="0" w:space="0" w:color="auto"/>
        <w:right w:val="none" w:sz="0" w:space="0" w:color="auto"/>
      </w:divBdr>
    </w:div>
    <w:div w:id="620959249">
      <w:bodyDiv w:val="1"/>
      <w:marLeft w:val="0"/>
      <w:marRight w:val="0"/>
      <w:marTop w:val="0"/>
      <w:marBottom w:val="0"/>
      <w:divBdr>
        <w:top w:val="none" w:sz="0" w:space="0" w:color="auto"/>
        <w:left w:val="none" w:sz="0" w:space="0" w:color="auto"/>
        <w:bottom w:val="none" w:sz="0" w:space="0" w:color="auto"/>
        <w:right w:val="none" w:sz="0" w:space="0" w:color="auto"/>
      </w:divBdr>
    </w:div>
    <w:div w:id="711463011">
      <w:bodyDiv w:val="1"/>
      <w:marLeft w:val="0"/>
      <w:marRight w:val="0"/>
      <w:marTop w:val="0"/>
      <w:marBottom w:val="0"/>
      <w:divBdr>
        <w:top w:val="none" w:sz="0" w:space="0" w:color="auto"/>
        <w:left w:val="none" w:sz="0" w:space="0" w:color="auto"/>
        <w:bottom w:val="none" w:sz="0" w:space="0" w:color="auto"/>
        <w:right w:val="none" w:sz="0" w:space="0" w:color="auto"/>
      </w:divBdr>
      <w:divsChild>
        <w:div w:id="36509912">
          <w:blockQuote w:val="1"/>
          <w:marLeft w:val="720"/>
          <w:marRight w:val="720"/>
          <w:marTop w:val="100"/>
          <w:marBottom w:val="100"/>
          <w:divBdr>
            <w:top w:val="none" w:sz="0" w:space="0" w:color="auto"/>
            <w:left w:val="none" w:sz="0" w:space="0" w:color="auto"/>
            <w:bottom w:val="none" w:sz="0" w:space="0" w:color="auto"/>
            <w:right w:val="none" w:sz="0" w:space="0" w:color="auto"/>
          </w:divBdr>
        </w:div>
        <w:div w:id="98568023">
          <w:blockQuote w:val="1"/>
          <w:marLeft w:val="720"/>
          <w:marRight w:val="720"/>
          <w:marTop w:val="100"/>
          <w:marBottom w:val="100"/>
          <w:divBdr>
            <w:top w:val="none" w:sz="0" w:space="0" w:color="auto"/>
            <w:left w:val="none" w:sz="0" w:space="0" w:color="auto"/>
            <w:bottom w:val="none" w:sz="0" w:space="0" w:color="auto"/>
            <w:right w:val="none" w:sz="0" w:space="0" w:color="auto"/>
          </w:divBdr>
        </w:div>
        <w:div w:id="475725854">
          <w:blockQuote w:val="1"/>
          <w:marLeft w:val="720"/>
          <w:marRight w:val="720"/>
          <w:marTop w:val="100"/>
          <w:marBottom w:val="100"/>
          <w:divBdr>
            <w:top w:val="none" w:sz="0" w:space="0" w:color="auto"/>
            <w:left w:val="none" w:sz="0" w:space="0" w:color="auto"/>
            <w:bottom w:val="none" w:sz="0" w:space="0" w:color="auto"/>
            <w:right w:val="none" w:sz="0" w:space="0" w:color="auto"/>
          </w:divBdr>
        </w:div>
        <w:div w:id="522865058">
          <w:blockQuote w:val="1"/>
          <w:marLeft w:val="720"/>
          <w:marRight w:val="720"/>
          <w:marTop w:val="100"/>
          <w:marBottom w:val="100"/>
          <w:divBdr>
            <w:top w:val="none" w:sz="0" w:space="0" w:color="auto"/>
            <w:left w:val="none" w:sz="0" w:space="0" w:color="auto"/>
            <w:bottom w:val="none" w:sz="0" w:space="0" w:color="auto"/>
            <w:right w:val="none" w:sz="0" w:space="0" w:color="auto"/>
          </w:divBdr>
        </w:div>
        <w:div w:id="594746591">
          <w:blockQuote w:val="1"/>
          <w:marLeft w:val="720"/>
          <w:marRight w:val="720"/>
          <w:marTop w:val="100"/>
          <w:marBottom w:val="100"/>
          <w:divBdr>
            <w:top w:val="none" w:sz="0" w:space="0" w:color="auto"/>
            <w:left w:val="none" w:sz="0" w:space="0" w:color="auto"/>
            <w:bottom w:val="none" w:sz="0" w:space="0" w:color="auto"/>
            <w:right w:val="none" w:sz="0" w:space="0" w:color="auto"/>
          </w:divBdr>
        </w:div>
        <w:div w:id="968364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4602228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781843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1141760">
      <w:bodyDiv w:val="1"/>
      <w:marLeft w:val="0"/>
      <w:marRight w:val="0"/>
      <w:marTop w:val="0"/>
      <w:marBottom w:val="0"/>
      <w:divBdr>
        <w:top w:val="none" w:sz="0" w:space="0" w:color="auto"/>
        <w:left w:val="none" w:sz="0" w:space="0" w:color="auto"/>
        <w:bottom w:val="none" w:sz="0" w:space="0" w:color="auto"/>
        <w:right w:val="none" w:sz="0" w:space="0" w:color="auto"/>
      </w:divBdr>
      <w:divsChild>
        <w:div w:id="1475223539">
          <w:marLeft w:val="0"/>
          <w:marRight w:val="0"/>
          <w:marTop w:val="0"/>
          <w:marBottom w:val="0"/>
          <w:divBdr>
            <w:top w:val="none" w:sz="0" w:space="0" w:color="auto"/>
            <w:left w:val="none" w:sz="0" w:space="0" w:color="auto"/>
            <w:bottom w:val="none" w:sz="0" w:space="0" w:color="auto"/>
            <w:right w:val="none" w:sz="0" w:space="0" w:color="auto"/>
          </w:divBdr>
        </w:div>
      </w:divsChild>
    </w:div>
    <w:div w:id="803698533">
      <w:bodyDiv w:val="1"/>
      <w:marLeft w:val="0"/>
      <w:marRight w:val="0"/>
      <w:marTop w:val="0"/>
      <w:marBottom w:val="0"/>
      <w:divBdr>
        <w:top w:val="none" w:sz="0" w:space="0" w:color="auto"/>
        <w:left w:val="none" w:sz="0" w:space="0" w:color="auto"/>
        <w:bottom w:val="none" w:sz="0" w:space="0" w:color="auto"/>
        <w:right w:val="none" w:sz="0" w:space="0" w:color="auto"/>
      </w:divBdr>
    </w:div>
    <w:div w:id="953488040">
      <w:bodyDiv w:val="1"/>
      <w:marLeft w:val="0"/>
      <w:marRight w:val="0"/>
      <w:marTop w:val="0"/>
      <w:marBottom w:val="0"/>
      <w:divBdr>
        <w:top w:val="none" w:sz="0" w:space="0" w:color="auto"/>
        <w:left w:val="none" w:sz="0" w:space="0" w:color="auto"/>
        <w:bottom w:val="none" w:sz="0" w:space="0" w:color="auto"/>
        <w:right w:val="none" w:sz="0" w:space="0" w:color="auto"/>
      </w:divBdr>
    </w:div>
    <w:div w:id="978654525">
      <w:bodyDiv w:val="1"/>
      <w:marLeft w:val="0"/>
      <w:marRight w:val="0"/>
      <w:marTop w:val="0"/>
      <w:marBottom w:val="0"/>
      <w:divBdr>
        <w:top w:val="none" w:sz="0" w:space="0" w:color="auto"/>
        <w:left w:val="none" w:sz="0" w:space="0" w:color="auto"/>
        <w:bottom w:val="none" w:sz="0" w:space="0" w:color="auto"/>
        <w:right w:val="none" w:sz="0" w:space="0" w:color="auto"/>
      </w:divBdr>
      <w:divsChild>
        <w:div w:id="265576730">
          <w:marLeft w:val="360"/>
          <w:marRight w:val="0"/>
          <w:marTop w:val="200"/>
          <w:marBottom w:val="0"/>
          <w:divBdr>
            <w:top w:val="none" w:sz="0" w:space="0" w:color="auto"/>
            <w:left w:val="none" w:sz="0" w:space="0" w:color="auto"/>
            <w:bottom w:val="none" w:sz="0" w:space="0" w:color="auto"/>
            <w:right w:val="none" w:sz="0" w:space="0" w:color="auto"/>
          </w:divBdr>
        </w:div>
        <w:div w:id="482503235">
          <w:marLeft w:val="360"/>
          <w:marRight w:val="0"/>
          <w:marTop w:val="200"/>
          <w:marBottom w:val="0"/>
          <w:divBdr>
            <w:top w:val="none" w:sz="0" w:space="0" w:color="auto"/>
            <w:left w:val="none" w:sz="0" w:space="0" w:color="auto"/>
            <w:bottom w:val="none" w:sz="0" w:space="0" w:color="auto"/>
            <w:right w:val="none" w:sz="0" w:space="0" w:color="auto"/>
          </w:divBdr>
        </w:div>
      </w:divsChild>
    </w:div>
    <w:div w:id="1032343974">
      <w:bodyDiv w:val="1"/>
      <w:marLeft w:val="0"/>
      <w:marRight w:val="0"/>
      <w:marTop w:val="0"/>
      <w:marBottom w:val="0"/>
      <w:divBdr>
        <w:top w:val="none" w:sz="0" w:space="0" w:color="auto"/>
        <w:left w:val="none" w:sz="0" w:space="0" w:color="auto"/>
        <w:bottom w:val="none" w:sz="0" w:space="0" w:color="auto"/>
        <w:right w:val="none" w:sz="0" w:space="0" w:color="auto"/>
      </w:divBdr>
    </w:div>
    <w:div w:id="1213537309">
      <w:bodyDiv w:val="1"/>
      <w:marLeft w:val="0"/>
      <w:marRight w:val="0"/>
      <w:marTop w:val="0"/>
      <w:marBottom w:val="0"/>
      <w:divBdr>
        <w:top w:val="none" w:sz="0" w:space="0" w:color="auto"/>
        <w:left w:val="none" w:sz="0" w:space="0" w:color="auto"/>
        <w:bottom w:val="none" w:sz="0" w:space="0" w:color="auto"/>
        <w:right w:val="none" w:sz="0" w:space="0" w:color="auto"/>
      </w:divBdr>
      <w:divsChild>
        <w:div w:id="1040668438">
          <w:marLeft w:val="446"/>
          <w:marRight w:val="0"/>
          <w:marTop w:val="0"/>
          <w:marBottom w:val="0"/>
          <w:divBdr>
            <w:top w:val="none" w:sz="0" w:space="0" w:color="auto"/>
            <w:left w:val="none" w:sz="0" w:space="0" w:color="auto"/>
            <w:bottom w:val="none" w:sz="0" w:space="0" w:color="auto"/>
            <w:right w:val="none" w:sz="0" w:space="0" w:color="auto"/>
          </w:divBdr>
        </w:div>
        <w:div w:id="1497107662">
          <w:marLeft w:val="446"/>
          <w:marRight w:val="0"/>
          <w:marTop w:val="0"/>
          <w:marBottom w:val="0"/>
          <w:divBdr>
            <w:top w:val="none" w:sz="0" w:space="0" w:color="auto"/>
            <w:left w:val="none" w:sz="0" w:space="0" w:color="auto"/>
            <w:bottom w:val="none" w:sz="0" w:space="0" w:color="auto"/>
            <w:right w:val="none" w:sz="0" w:space="0" w:color="auto"/>
          </w:divBdr>
        </w:div>
        <w:div w:id="1632974796">
          <w:marLeft w:val="446"/>
          <w:marRight w:val="0"/>
          <w:marTop w:val="0"/>
          <w:marBottom w:val="0"/>
          <w:divBdr>
            <w:top w:val="none" w:sz="0" w:space="0" w:color="auto"/>
            <w:left w:val="none" w:sz="0" w:space="0" w:color="auto"/>
            <w:bottom w:val="none" w:sz="0" w:space="0" w:color="auto"/>
            <w:right w:val="none" w:sz="0" w:space="0" w:color="auto"/>
          </w:divBdr>
        </w:div>
        <w:div w:id="2133283247">
          <w:marLeft w:val="446"/>
          <w:marRight w:val="0"/>
          <w:marTop w:val="0"/>
          <w:marBottom w:val="0"/>
          <w:divBdr>
            <w:top w:val="none" w:sz="0" w:space="0" w:color="auto"/>
            <w:left w:val="none" w:sz="0" w:space="0" w:color="auto"/>
            <w:bottom w:val="none" w:sz="0" w:space="0" w:color="auto"/>
            <w:right w:val="none" w:sz="0" w:space="0" w:color="auto"/>
          </w:divBdr>
        </w:div>
      </w:divsChild>
    </w:div>
    <w:div w:id="1225411611">
      <w:bodyDiv w:val="1"/>
      <w:marLeft w:val="0"/>
      <w:marRight w:val="0"/>
      <w:marTop w:val="0"/>
      <w:marBottom w:val="0"/>
      <w:divBdr>
        <w:top w:val="none" w:sz="0" w:space="0" w:color="auto"/>
        <w:left w:val="none" w:sz="0" w:space="0" w:color="auto"/>
        <w:bottom w:val="none" w:sz="0" w:space="0" w:color="auto"/>
        <w:right w:val="none" w:sz="0" w:space="0" w:color="auto"/>
      </w:divBdr>
    </w:div>
    <w:div w:id="1238445117">
      <w:bodyDiv w:val="1"/>
      <w:marLeft w:val="0"/>
      <w:marRight w:val="0"/>
      <w:marTop w:val="0"/>
      <w:marBottom w:val="0"/>
      <w:divBdr>
        <w:top w:val="none" w:sz="0" w:space="0" w:color="auto"/>
        <w:left w:val="none" w:sz="0" w:space="0" w:color="auto"/>
        <w:bottom w:val="none" w:sz="0" w:space="0" w:color="auto"/>
        <w:right w:val="none" w:sz="0" w:space="0" w:color="auto"/>
      </w:divBdr>
      <w:divsChild>
        <w:div w:id="1293710024">
          <w:marLeft w:val="547"/>
          <w:marRight w:val="0"/>
          <w:marTop w:val="0"/>
          <w:marBottom w:val="0"/>
          <w:divBdr>
            <w:top w:val="none" w:sz="0" w:space="0" w:color="auto"/>
            <w:left w:val="none" w:sz="0" w:space="0" w:color="auto"/>
            <w:bottom w:val="none" w:sz="0" w:space="0" w:color="auto"/>
            <w:right w:val="none" w:sz="0" w:space="0" w:color="auto"/>
          </w:divBdr>
        </w:div>
        <w:div w:id="1547445427">
          <w:marLeft w:val="547"/>
          <w:marRight w:val="0"/>
          <w:marTop w:val="0"/>
          <w:marBottom w:val="0"/>
          <w:divBdr>
            <w:top w:val="none" w:sz="0" w:space="0" w:color="auto"/>
            <w:left w:val="none" w:sz="0" w:space="0" w:color="auto"/>
            <w:bottom w:val="none" w:sz="0" w:space="0" w:color="auto"/>
            <w:right w:val="none" w:sz="0" w:space="0" w:color="auto"/>
          </w:divBdr>
        </w:div>
        <w:div w:id="479076377">
          <w:marLeft w:val="547"/>
          <w:marRight w:val="0"/>
          <w:marTop w:val="0"/>
          <w:marBottom w:val="0"/>
          <w:divBdr>
            <w:top w:val="none" w:sz="0" w:space="0" w:color="auto"/>
            <w:left w:val="none" w:sz="0" w:space="0" w:color="auto"/>
            <w:bottom w:val="none" w:sz="0" w:space="0" w:color="auto"/>
            <w:right w:val="none" w:sz="0" w:space="0" w:color="auto"/>
          </w:divBdr>
        </w:div>
        <w:div w:id="768424615">
          <w:marLeft w:val="547"/>
          <w:marRight w:val="0"/>
          <w:marTop w:val="0"/>
          <w:marBottom w:val="0"/>
          <w:divBdr>
            <w:top w:val="none" w:sz="0" w:space="0" w:color="auto"/>
            <w:left w:val="none" w:sz="0" w:space="0" w:color="auto"/>
            <w:bottom w:val="none" w:sz="0" w:space="0" w:color="auto"/>
            <w:right w:val="none" w:sz="0" w:space="0" w:color="auto"/>
          </w:divBdr>
        </w:div>
        <w:div w:id="1688478801">
          <w:marLeft w:val="547"/>
          <w:marRight w:val="0"/>
          <w:marTop w:val="0"/>
          <w:marBottom w:val="0"/>
          <w:divBdr>
            <w:top w:val="none" w:sz="0" w:space="0" w:color="auto"/>
            <w:left w:val="none" w:sz="0" w:space="0" w:color="auto"/>
            <w:bottom w:val="none" w:sz="0" w:space="0" w:color="auto"/>
            <w:right w:val="none" w:sz="0" w:space="0" w:color="auto"/>
          </w:divBdr>
        </w:div>
      </w:divsChild>
    </w:div>
    <w:div w:id="1239746428">
      <w:bodyDiv w:val="1"/>
      <w:marLeft w:val="0"/>
      <w:marRight w:val="0"/>
      <w:marTop w:val="0"/>
      <w:marBottom w:val="0"/>
      <w:divBdr>
        <w:top w:val="none" w:sz="0" w:space="0" w:color="auto"/>
        <w:left w:val="none" w:sz="0" w:space="0" w:color="auto"/>
        <w:bottom w:val="none" w:sz="0" w:space="0" w:color="auto"/>
        <w:right w:val="none" w:sz="0" w:space="0" w:color="auto"/>
      </w:divBdr>
    </w:div>
    <w:div w:id="1309171258">
      <w:bodyDiv w:val="1"/>
      <w:marLeft w:val="0"/>
      <w:marRight w:val="0"/>
      <w:marTop w:val="0"/>
      <w:marBottom w:val="0"/>
      <w:divBdr>
        <w:top w:val="none" w:sz="0" w:space="0" w:color="auto"/>
        <w:left w:val="none" w:sz="0" w:space="0" w:color="auto"/>
        <w:bottom w:val="none" w:sz="0" w:space="0" w:color="auto"/>
        <w:right w:val="none" w:sz="0" w:space="0" w:color="auto"/>
      </w:divBdr>
    </w:div>
    <w:div w:id="1347320587">
      <w:bodyDiv w:val="1"/>
      <w:marLeft w:val="0"/>
      <w:marRight w:val="0"/>
      <w:marTop w:val="0"/>
      <w:marBottom w:val="0"/>
      <w:divBdr>
        <w:top w:val="none" w:sz="0" w:space="0" w:color="auto"/>
        <w:left w:val="none" w:sz="0" w:space="0" w:color="auto"/>
        <w:bottom w:val="none" w:sz="0" w:space="0" w:color="auto"/>
        <w:right w:val="none" w:sz="0" w:space="0" w:color="auto"/>
      </w:divBdr>
      <w:divsChild>
        <w:div w:id="90929675">
          <w:marLeft w:val="360"/>
          <w:marRight w:val="0"/>
          <w:marTop w:val="200"/>
          <w:marBottom w:val="0"/>
          <w:divBdr>
            <w:top w:val="none" w:sz="0" w:space="0" w:color="auto"/>
            <w:left w:val="none" w:sz="0" w:space="0" w:color="auto"/>
            <w:bottom w:val="none" w:sz="0" w:space="0" w:color="auto"/>
            <w:right w:val="none" w:sz="0" w:space="0" w:color="auto"/>
          </w:divBdr>
        </w:div>
        <w:div w:id="210502424">
          <w:marLeft w:val="1080"/>
          <w:marRight w:val="0"/>
          <w:marTop w:val="100"/>
          <w:marBottom w:val="0"/>
          <w:divBdr>
            <w:top w:val="none" w:sz="0" w:space="0" w:color="auto"/>
            <w:left w:val="none" w:sz="0" w:space="0" w:color="auto"/>
            <w:bottom w:val="none" w:sz="0" w:space="0" w:color="auto"/>
            <w:right w:val="none" w:sz="0" w:space="0" w:color="auto"/>
          </w:divBdr>
        </w:div>
        <w:div w:id="235743657">
          <w:marLeft w:val="360"/>
          <w:marRight w:val="0"/>
          <w:marTop w:val="200"/>
          <w:marBottom w:val="0"/>
          <w:divBdr>
            <w:top w:val="none" w:sz="0" w:space="0" w:color="auto"/>
            <w:left w:val="none" w:sz="0" w:space="0" w:color="auto"/>
            <w:bottom w:val="none" w:sz="0" w:space="0" w:color="auto"/>
            <w:right w:val="none" w:sz="0" w:space="0" w:color="auto"/>
          </w:divBdr>
        </w:div>
        <w:div w:id="444542189">
          <w:marLeft w:val="360"/>
          <w:marRight w:val="0"/>
          <w:marTop w:val="200"/>
          <w:marBottom w:val="0"/>
          <w:divBdr>
            <w:top w:val="none" w:sz="0" w:space="0" w:color="auto"/>
            <w:left w:val="none" w:sz="0" w:space="0" w:color="auto"/>
            <w:bottom w:val="none" w:sz="0" w:space="0" w:color="auto"/>
            <w:right w:val="none" w:sz="0" w:space="0" w:color="auto"/>
          </w:divBdr>
        </w:div>
        <w:div w:id="613682318">
          <w:marLeft w:val="360"/>
          <w:marRight w:val="0"/>
          <w:marTop w:val="200"/>
          <w:marBottom w:val="0"/>
          <w:divBdr>
            <w:top w:val="none" w:sz="0" w:space="0" w:color="auto"/>
            <w:left w:val="none" w:sz="0" w:space="0" w:color="auto"/>
            <w:bottom w:val="none" w:sz="0" w:space="0" w:color="auto"/>
            <w:right w:val="none" w:sz="0" w:space="0" w:color="auto"/>
          </w:divBdr>
        </w:div>
        <w:div w:id="720710841">
          <w:marLeft w:val="1080"/>
          <w:marRight w:val="0"/>
          <w:marTop w:val="100"/>
          <w:marBottom w:val="0"/>
          <w:divBdr>
            <w:top w:val="none" w:sz="0" w:space="0" w:color="auto"/>
            <w:left w:val="none" w:sz="0" w:space="0" w:color="auto"/>
            <w:bottom w:val="none" w:sz="0" w:space="0" w:color="auto"/>
            <w:right w:val="none" w:sz="0" w:space="0" w:color="auto"/>
          </w:divBdr>
        </w:div>
        <w:div w:id="1124546786">
          <w:marLeft w:val="1080"/>
          <w:marRight w:val="0"/>
          <w:marTop w:val="100"/>
          <w:marBottom w:val="0"/>
          <w:divBdr>
            <w:top w:val="none" w:sz="0" w:space="0" w:color="auto"/>
            <w:left w:val="none" w:sz="0" w:space="0" w:color="auto"/>
            <w:bottom w:val="none" w:sz="0" w:space="0" w:color="auto"/>
            <w:right w:val="none" w:sz="0" w:space="0" w:color="auto"/>
          </w:divBdr>
        </w:div>
        <w:div w:id="1149248720">
          <w:marLeft w:val="360"/>
          <w:marRight w:val="0"/>
          <w:marTop w:val="200"/>
          <w:marBottom w:val="0"/>
          <w:divBdr>
            <w:top w:val="none" w:sz="0" w:space="0" w:color="auto"/>
            <w:left w:val="none" w:sz="0" w:space="0" w:color="auto"/>
            <w:bottom w:val="none" w:sz="0" w:space="0" w:color="auto"/>
            <w:right w:val="none" w:sz="0" w:space="0" w:color="auto"/>
          </w:divBdr>
        </w:div>
        <w:div w:id="1238058644">
          <w:marLeft w:val="1080"/>
          <w:marRight w:val="0"/>
          <w:marTop w:val="100"/>
          <w:marBottom w:val="0"/>
          <w:divBdr>
            <w:top w:val="none" w:sz="0" w:space="0" w:color="auto"/>
            <w:left w:val="none" w:sz="0" w:space="0" w:color="auto"/>
            <w:bottom w:val="none" w:sz="0" w:space="0" w:color="auto"/>
            <w:right w:val="none" w:sz="0" w:space="0" w:color="auto"/>
          </w:divBdr>
        </w:div>
        <w:div w:id="1433085090">
          <w:marLeft w:val="360"/>
          <w:marRight w:val="0"/>
          <w:marTop w:val="200"/>
          <w:marBottom w:val="0"/>
          <w:divBdr>
            <w:top w:val="none" w:sz="0" w:space="0" w:color="auto"/>
            <w:left w:val="none" w:sz="0" w:space="0" w:color="auto"/>
            <w:bottom w:val="none" w:sz="0" w:space="0" w:color="auto"/>
            <w:right w:val="none" w:sz="0" w:space="0" w:color="auto"/>
          </w:divBdr>
        </w:div>
        <w:div w:id="1641229885">
          <w:marLeft w:val="360"/>
          <w:marRight w:val="0"/>
          <w:marTop w:val="200"/>
          <w:marBottom w:val="0"/>
          <w:divBdr>
            <w:top w:val="none" w:sz="0" w:space="0" w:color="auto"/>
            <w:left w:val="none" w:sz="0" w:space="0" w:color="auto"/>
            <w:bottom w:val="none" w:sz="0" w:space="0" w:color="auto"/>
            <w:right w:val="none" w:sz="0" w:space="0" w:color="auto"/>
          </w:divBdr>
        </w:div>
        <w:div w:id="1785878514">
          <w:marLeft w:val="360"/>
          <w:marRight w:val="0"/>
          <w:marTop w:val="200"/>
          <w:marBottom w:val="0"/>
          <w:divBdr>
            <w:top w:val="none" w:sz="0" w:space="0" w:color="auto"/>
            <w:left w:val="none" w:sz="0" w:space="0" w:color="auto"/>
            <w:bottom w:val="none" w:sz="0" w:space="0" w:color="auto"/>
            <w:right w:val="none" w:sz="0" w:space="0" w:color="auto"/>
          </w:divBdr>
        </w:div>
        <w:div w:id="1910843055">
          <w:marLeft w:val="360"/>
          <w:marRight w:val="0"/>
          <w:marTop w:val="200"/>
          <w:marBottom w:val="0"/>
          <w:divBdr>
            <w:top w:val="none" w:sz="0" w:space="0" w:color="auto"/>
            <w:left w:val="none" w:sz="0" w:space="0" w:color="auto"/>
            <w:bottom w:val="none" w:sz="0" w:space="0" w:color="auto"/>
            <w:right w:val="none" w:sz="0" w:space="0" w:color="auto"/>
          </w:divBdr>
        </w:div>
        <w:div w:id="2027947810">
          <w:marLeft w:val="1080"/>
          <w:marRight w:val="0"/>
          <w:marTop w:val="100"/>
          <w:marBottom w:val="0"/>
          <w:divBdr>
            <w:top w:val="none" w:sz="0" w:space="0" w:color="auto"/>
            <w:left w:val="none" w:sz="0" w:space="0" w:color="auto"/>
            <w:bottom w:val="none" w:sz="0" w:space="0" w:color="auto"/>
            <w:right w:val="none" w:sz="0" w:space="0" w:color="auto"/>
          </w:divBdr>
        </w:div>
        <w:div w:id="2070960102">
          <w:marLeft w:val="360"/>
          <w:marRight w:val="0"/>
          <w:marTop w:val="200"/>
          <w:marBottom w:val="0"/>
          <w:divBdr>
            <w:top w:val="none" w:sz="0" w:space="0" w:color="auto"/>
            <w:left w:val="none" w:sz="0" w:space="0" w:color="auto"/>
            <w:bottom w:val="none" w:sz="0" w:space="0" w:color="auto"/>
            <w:right w:val="none" w:sz="0" w:space="0" w:color="auto"/>
          </w:divBdr>
        </w:div>
      </w:divsChild>
    </w:div>
    <w:div w:id="1359741452">
      <w:bodyDiv w:val="1"/>
      <w:marLeft w:val="0"/>
      <w:marRight w:val="0"/>
      <w:marTop w:val="0"/>
      <w:marBottom w:val="0"/>
      <w:divBdr>
        <w:top w:val="none" w:sz="0" w:space="0" w:color="auto"/>
        <w:left w:val="none" w:sz="0" w:space="0" w:color="auto"/>
        <w:bottom w:val="none" w:sz="0" w:space="0" w:color="auto"/>
        <w:right w:val="none" w:sz="0" w:space="0" w:color="auto"/>
      </w:divBdr>
    </w:div>
    <w:div w:id="1418819145">
      <w:bodyDiv w:val="1"/>
      <w:marLeft w:val="0"/>
      <w:marRight w:val="0"/>
      <w:marTop w:val="0"/>
      <w:marBottom w:val="0"/>
      <w:divBdr>
        <w:top w:val="none" w:sz="0" w:space="0" w:color="auto"/>
        <w:left w:val="none" w:sz="0" w:space="0" w:color="auto"/>
        <w:bottom w:val="none" w:sz="0" w:space="0" w:color="auto"/>
        <w:right w:val="none" w:sz="0" w:space="0" w:color="auto"/>
      </w:divBdr>
    </w:div>
    <w:div w:id="1453788586">
      <w:bodyDiv w:val="1"/>
      <w:marLeft w:val="0"/>
      <w:marRight w:val="0"/>
      <w:marTop w:val="0"/>
      <w:marBottom w:val="0"/>
      <w:divBdr>
        <w:top w:val="none" w:sz="0" w:space="0" w:color="auto"/>
        <w:left w:val="none" w:sz="0" w:space="0" w:color="auto"/>
        <w:bottom w:val="none" w:sz="0" w:space="0" w:color="auto"/>
        <w:right w:val="none" w:sz="0" w:space="0" w:color="auto"/>
      </w:divBdr>
      <w:divsChild>
        <w:div w:id="703599228">
          <w:marLeft w:val="547"/>
          <w:marRight w:val="0"/>
          <w:marTop w:val="0"/>
          <w:marBottom w:val="0"/>
          <w:divBdr>
            <w:top w:val="none" w:sz="0" w:space="0" w:color="auto"/>
            <w:left w:val="none" w:sz="0" w:space="0" w:color="auto"/>
            <w:bottom w:val="none" w:sz="0" w:space="0" w:color="auto"/>
            <w:right w:val="none" w:sz="0" w:space="0" w:color="auto"/>
          </w:divBdr>
        </w:div>
        <w:div w:id="1826362452">
          <w:marLeft w:val="547"/>
          <w:marRight w:val="0"/>
          <w:marTop w:val="0"/>
          <w:marBottom w:val="0"/>
          <w:divBdr>
            <w:top w:val="none" w:sz="0" w:space="0" w:color="auto"/>
            <w:left w:val="none" w:sz="0" w:space="0" w:color="auto"/>
            <w:bottom w:val="none" w:sz="0" w:space="0" w:color="auto"/>
            <w:right w:val="none" w:sz="0" w:space="0" w:color="auto"/>
          </w:divBdr>
        </w:div>
        <w:div w:id="1914584890">
          <w:marLeft w:val="0"/>
          <w:marRight w:val="0"/>
          <w:marTop w:val="0"/>
          <w:marBottom w:val="0"/>
          <w:divBdr>
            <w:top w:val="none" w:sz="0" w:space="0" w:color="auto"/>
            <w:left w:val="none" w:sz="0" w:space="0" w:color="auto"/>
            <w:bottom w:val="none" w:sz="0" w:space="0" w:color="auto"/>
            <w:right w:val="none" w:sz="0" w:space="0" w:color="auto"/>
          </w:divBdr>
        </w:div>
        <w:div w:id="1965427575">
          <w:marLeft w:val="547"/>
          <w:marRight w:val="0"/>
          <w:marTop w:val="0"/>
          <w:marBottom w:val="0"/>
          <w:divBdr>
            <w:top w:val="none" w:sz="0" w:space="0" w:color="auto"/>
            <w:left w:val="none" w:sz="0" w:space="0" w:color="auto"/>
            <w:bottom w:val="none" w:sz="0" w:space="0" w:color="auto"/>
            <w:right w:val="none" w:sz="0" w:space="0" w:color="auto"/>
          </w:divBdr>
        </w:div>
        <w:div w:id="2042700110">
          <w:marLeft w:val="547"/>
          <w:marRight w:val="0"/>
          <w:marTop w:val="0"/>
          <w:marBottom w:val="0"/>
          <w:divBdr>
            <w:top w:val="none" w:sz="0" w:space="0" w:color="auto"/>
            <w:left w:val="none" w:sz="0" w:space="0" w:color="auto"/>
            <w:bottom w:val="none" w:sz="0" w:space="0" w:color="auto"/>
            <w:right w:val="none" w:sz="0" w:space="0" w:color="auto"/>
          </w:divBdr>
        </w:div>
      </w:divsChild>
    </w:div>
    <w:div w:id="1501238614">
      <w:bodyDiv w:val="1"/>
      <w:marLeft w:val="0"/>
      <w:marRight w:val="0"/>
      <w:marTop w:val="0"/>
      <w:marBottom w:val="0"/>
      <w:divBdr>
        <w:top w:val="none" w:sz="0" w:space="0" w:color="auto"/>
        <w:left w:val="none" w:sz="0" w:space="0" w:color="auto"/>
        <w:bottom w:val="none" w:sz="0" w:space="0" w:color="auto"/>
        <w:right w:val="none" w:sz="0" w:space="0" w:color="auto"/>
      </w:divBdr>
    </w:div>
    <w:div w:id="1524855383">
      <w:bodyDiv w:val="1"/>
      <w:marLeft w:val="0"/>
      <w:marRight w:val="0"/>
      <w:marTop w:val="0"/>
      <w:marBottom w:val="0"/>
      <w:divBdr>
        <w:top w:val="none" w:sz="0" w:space="0" w:color="auto"/>
        <w:left w:val="none" w:sz="0" w:space="0" w:color="auto"/>
        <w:bottom w:val="none" w:sz="0" w:space="0" w:color="auto"/>
        <w:right w:val="none" w:sz="0" w:space="0" w:color="auto"/>
      </w:divBdr>
    </w:div>
    <w:div w:id="1566797424">
      <w:bodyDiv w:val="1"/>
      <w:marLeft w:val="0"/>
      <w:marRight w:val="0"/>
      <w:marTop w:val="0"/>
      <w:marBottom w:val="0"/>
      <w:divBdr>
        <w:top w:val="none" w:sz="0" w:space="0" w:color="auto"/>
        <w:left w:val="none" w:sz="0" w:space="0" w:color="auto"/>
        <w:bottom w:val="none" w:sz="0" w:space="0" w:color="auto"/>
        <w:right w:val="none" w:sz="0" w:space="0" w:color="auto"/>
      </w:divBdr>
    </w:div>
    <w:div w:id="1701281714">
      <w:bodyDiv w:val="1"/>
      <w:marLeft w:val="0"/>
      <w:marRight w:val="0"/>
      <w:marTop w:val="0"/>
      <w:marBottom w:val="0"/>
      <w:divBdr>
        <w:top w:val="none" w:sz="0" w:space="0" w:color="auto"/>
        <w:left w:val="none" w:sz="0" w:space="0" w:color="auto"/>
        <w:bottom w:val="none" w:sz="0" w:space="0" w:color="auto"/>
        <w:right w:val="none" w:sz="0" w:space="0" w:color="auto"/>
      </w:divBdr>
      <w:divsChild>
        <w:div w:id="508567239">
          <w:marLeft w:val="360"/>
          <w:marRight w:val="0"/>
          <w:marTop w:val="200"/>
          <w:marBottom w:val="0"/>
          <w:divBdr>
            <w:top w:val="none" w:sz="0" w:space="0" w:color="auto"/>
            <w:left w:val="none" w:sz="0" w:space="0" w:color="auto"/>
            <w:bottom w:val="none" w:sz="0" w:space="0" w:color="auto"/>
            <w:right w:val="none" w:sz="0" w:space="0" w:color="auto"/>
          </w:divBdr>
        </w:div>
        <w:div w:id="725496571">
          <w:marLeft w:val="360"/>
          <w:marRight w:val="0"/>
          <w:marTop w:val="200"/>
          <w:marBottom w:val="0"/>
          <w:divBdr>
            <w:top w:val="none" w:sz="0" w:space="0" w:color="auto"/>
            <w:left w:val="none" w:sz="0" w:space="0" w:color="auto"/>
            <w:bottom w:val="none" w:sz="0" w:space="0" w:color="auto"/>
            <w:right w:val="none" w:sz="0" w:space="0" w:color="auto"/>
          </w:divBdr>
        </w:div>
        <w:div w:id="923992721">
          <w:marLeft w:val="360"/>
          <w:marRight w:val="0"/>
          <w:marTop w:val="200"/>
          <w:marBottom w:val="0"/>
          <w:divBdr>
            <w:top w:val="none" w:sz="0" w:space="0" w:color="auto"/>
            <w:left w:val="none" w:sz="0" w:space="0" w:color="auto"/>
            <w:bottom w:val="none" w:sz="0" w:space="0" w:color="auto"/>
            <w:right w:val="none" w:sz="0" w:space="0" w:color="auto"/>
          </w:divBdr>
        </w:div>
        <w:div w:id="980381254">
          <w:marLeft w:val="360"/>
          <w:marRight w:val="0"/>
          <w:marTop w:val="200"/>
          <w:marBottom w:val="0"/>
          <w:divBdr>
            <w:top w:val="none" w:sz="0" w:space="0" w:color="auto"/>
            <w:left w:val="none" w:sz="0" w:space="0" w:color="auto"/>
            <w:bottom w:val="none" w:sz="0" w:space="0" w:color="auto"/>
            <w:right w:val="none" w:sz="0" w:space="0" w:color="auto"/>
          </w:divBdr>
        </w:div>
        <w:div w:id="1040083611">
          <w:marLeft w:val="360"/>
          <w:marRight w:val="0"/>
          <w:marTop w:val="200"/>
          <w:marBottom w:val="0"/>
          <w:divBdr>
            <w:top w:val="none" w:sz="0" w:space="0" w:color="auto"/>
            <w:left w:val="none" w:sz="0" w:space="0" w:color="auto"/>
            <w:bottom w:val="none" w:sz="0" w:space="0" w:color="auto"/>
            <w:right w:val="none" w:sz="0" w:space="0" w:color="auto"/>
          </w:divBdr>
        </w:div>
        <w:div w:id="1499926571">
          <w:marLeft w:val="360"/>
          <w:marRight w:val="0"/>
          <w:marTop w:val="200"/>
          <w:marBottom w:val="0"/>
          <w:divBdr>
            <w:top w:val="none" w:sz="0" w:space="0" w:color="auto"/>
            <w:left w:val="none" w:sz="0" w:space="0" w:color="auto"/>
            <w:bottom w:val="none" w:sz="0" w:space="0" w:color="auto"/>
            <w:right w:val="none" w:sz="0" w:space="0" w:color="auto"/>
          </w:divBdr>
        </w:div>
        <w:div w:id="2043051414">
          <w:marLeft w:val="360"/>
          <w:marRight w:val="0"/>
          <w:marTop w:val="200"/>
          <w:marBottom w:val="0"/>
          <w:divBdr>
            <w:top w:val="none" w:sz="0" w:space="0" w:color="auto"/>
            <w:left w:val="none" w:sz="0" w:space="0" w:color="auto"/>
            <w:bottom w:val="none" w:sz="0" w:space="0" w:color="auto"/>
            <w:right w:val="none" w:sz="0" w:space="0" w:color="auto"/>
          </w:divBdr>
        </w:div>
      </w:divsChild>
    </w:div>
    <w:div w:id="1809740602">
      <w:bodyDiv w:val="1"/>
      <w:marLeft w:val="0"/>
      <w:marRight w:val="0"/>
      <w:marTop w:val="0"/>
      <w:marBottom w:val="0"/>
      <w:divBdr>
        <w:top w:val="none" w:sz="0" w:space="0" w:color="auto"/>
        <w:left w:val="none" w:sz="0" w:space="0" w:color="auto"/>
        <w:bottom w:val="none" w:sz="0" w:space="0" w:color="auto"/>
        <w:right w:val="none" w:sz="0" w:space="0" w:color="auto"/>
      </w:divBdr>
      <w:divsChild>
        <w:div w:id="282269622">
          <w:marLeft w:val="446"/>
          <w:marRight w:val="0"/>
          <w:marTop w:val="0"/>
          <w:marBottom w:val="0"/>
          <w:divBdr>
            <w:top w:val="none" w:sz="0" w:space="0" w:color="auto"/>
            <w:left w:val="none" w:sz="0" w:space="0" w:color="auto"/>
            <w:bottom w:val="none" w:sz="0" w:space="0" w:color="auto"/>
            <w:right w:val="none" w:sz="0" w:space="0" w:color="auto"/>
          </w:divBdr>
        </w:div>
        <w:div w:id="1124544340">
          <w:marLeft w:val="446"/>
          <w:marRight w:val="0"/>
          <w:marTop w:val="0"/>
          <w:marBottom w:val="0"/>
          <w:divBdr>
            <w:top w:val="none" w:sz="0" w:space="0" w:color="auto"/>
            <w:left w:val="none" w:sz="0" w:space="0" w:color="auto"/>
            <w:bottom w:val="none" w:sz="0" w:space="0" w:color="auto"/>
            <w:right w:val="none" w:sz="0" w:space="0" w:color="auto"/>
          </w:divBdr>
        </w:div>
        <w:div w:id="1404717531">
          <w:marLeft w:val="446"/>
          <w:marRight w:val="0"/>
          <w:marTop w:val="0"/>
          <w:marBottom w:val="0"/>
          <w:divBdr>
            <w:top w:val="none" w:sz="0" w:space="0" w:color="auto"/>
            <w:left w:val="none" w:sz="0" w:space="0" w:color="auto"/>
            <w:bottom w:val="none" w:sz="0" w:space="0" w:color="auto"/>
            <w:right w:val="none" w:sz="0" w:space="0" w:color="auto"/>
          </w:divBdr>
        </w:div>
      </w:divsChild>
    </w:div>
    <w:div w:id="1879319364">
      <w:bodyDiv w:val="1"/>
      <w:marLeft w:val="0"/>
      <w:marRight w:val="0"/>
      <w:marTop w:val="0"/>
      <w:marBottom w:val="0"/>
      <w:divBdr>
        <w:top w:val="none" w:sz="0" w:space="0" w:color="auto"/>
        <w:left w:val="none" w:sz="0" w:space="0" w:color="auto"/>
        <w:bottom w:val="none" w:sz="0" w:space="0" w:color="auto"/>
        <w:right w:val="none" w:sz="0" w:space="0" w:color="auto"/>
      </w:divBdr>
    </w:div>
    <w:div w:id="1961036531">
      <w:bodyDiv w:val="1"/>
      <w:marLeft w:val="0"/>
      <w:marRight w:val="0"/>
      <w:marTop w:val="0"/>
      <w:marBottom w:val="0"/>
      <w:divBdr>
        <w:top w:val="none" w:sz="0" w:space="0" w:color="auto"/>
        <w:left w:val="none" w:sz="0" w:space="0" w:color="auto"/>
        <w:bottom w:val="none" w:sz="0" w:space="0" w:color="auto"/>
        <w:right w:val="none" w:sz="0" w:space="0" w:color="auto"/>
      </w:divBdr>
    </w:div>
    <w:div w:id="2011635943">
      <w:bodyDiv w:val="1"/>
      <w:marLeft w:val="0"/>
      <w:marRight w:val="0"/>
      <w:marTop w:val="0"/>
      <w:marBottom w:val="0"/>
      <w:divBdr>
        <w:top w:val="none" w:sz="0" w:space="0" w:color="auto"/>
        <w:left w:val="none" w:sz="0" w:space="0" w:color="auto"/>
        <w:bottom w:val="none" w:sz="0" w:space="0" w:color="auto"/>
        <w:right w:val="none" w:sz="0" w:space="0" w:color="auto"/>
      </w:divBdr>
    </w:div>
    <w:div w:id="206020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github.com/ethereum/go-ethereum/wiki/Disclaimer" TargetMode="Externa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gnu.org/licenses/lgpl-3.0.en.html"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40"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ipci.i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opensource.org/licenses/BSD-3-Clause" TargetMode="External"/><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galenovich@ipci.io"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pcc.ch/pdf/assessment-report/ar5/wg1/WG1AR5_SPM_FINAL.pdf" TargetMode="External"/><Relationship Id="rId2" Type="http://schemas.openxmlformats.org/officeDocument/2006/relationships/hyperlink" Target="http://www.e5.org/downloads/ETBrussel210202/Palmisano_commentsDirectiveProposal.pdf" TargetMode="External"/><Relationship Id="rId1" Type="http://schemas.openxmlformats.org/officeDocument/2006/relationships/hyperlink" Target="https://goo.gl/tN16Wj" TargetMode="External"/><Relationship Id="rId5" Type="http://schemas.openxmlformats.org/officeDocument/2006/relationships/hyperlink" Target="https://medium.com/@antongalenovich/tokenizing-claims-for-environmental-damages-another-use-case-for-dao-ipci-security-deposit-3868c1e800b" TargetMode="External"/><Relationship Id="rId4" Type="http://schemas.openxmlformats.org/officeDocument/2006/relationships/hyperlink" Target="https://github.com/airala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3880C7-4B87-4FF5-AA49-A528ACBA9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2434</TotalTime>
  <Pages>36</Pages>
  <Words>10173</Words>
  <Characters>57990</Characters>
  <Application>Microsoft Office Word</Application>
  <DocSecurity>0</DocSecurity>
  <Lines>483</Lines>
  <Paragraphs>136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DECENTRALIZED AUTONOMOUS ORGANIZATION «INTEGRAL PLATFORM FOR CLIMATE INITIATIVES»</vt:lpstr>
      <vt:lpstr>DECENTRALIZED AUTONOMOUS ORGANIZATION «INTEGRAL PLATFORM FOR CLIMATE INITIATIVES»</vt:lpstr>
    </vt:vector>
  </TitlesOfParts>
  <Company>DAO IPCI</Company>
  <LinksUpToDate>false</LinksUpToDate>
  <CharactersWithSpaces>68027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DECENTRALIZED AUTONOMOUS ORGANIZATION «INTEGRAL PLATFORM FOR CLIMATE INITIATIVES»</dc:title>
  <dc:subject>Public programmable blockchain ecosystem for carbon markets, societal cost mitigation instruments, environmental assets, rights and liabilities</dc:subject>
  <dc:creator>Anton Galenovich</dc:creator>
  <cp:keywords/>
  <dc:description/>
  <cp:lastModifiedBy>Anton Galenovich</cp:lastModifiedBy>
  <cp:revision>69</cp:revision>
  <cp:lastPrinted>2018-06-03T10:44:00Z</cp:lastPrinted>
  <dcterms:created xsi:type="dcterms:W3CDTF">2018-05-07T05:37:00Z</dcterms:created>
  <dcterms:modified xsi:type="dcterms:W3CDTF">2018-06-03T11:10:00Z</dcterms:modified>
</cp:coreProperties>
</file>